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微软雅黑" w:hAnsi="微软雅黑" w:eastAsia="微软雅黑"/>
          <w:b/>
          <w:sz w:val="44"/>
        </w:rPr>
        <w:t>四川省机场集团航空地面服务有限公司</w:t>
      </w:r>
    </w:p>
    <w:p>
      <w:pPr>
        <w:jc w:val="center"/>
      </w:pPr>
      <w:r>
        <w:rPr>
          <w:rFonts w:ascii="微软雅黑" w:hAnsi="微软雅黑" w:eastAsia="微软雅黑"/>
          <w:b/>
          <w:sz w:val="44"/>
        </w:rPr>
        <w:t>智慧货运补贴系统升级项目</w:t>
      </w:r>
    </w:p>
    <w:p>
      <w:pPr>
        <w:jc w:val="center"/>
      </w:pPr>
      <w:r>
        <w:rPr>
          <w:rFonts w:ascii="微软雅黑" w:hAnsi="微软雅黑" w:eastAsia="微软雅黑"/>
          <w:b/>
          <w:sz w:val="36"/>
        </w:rPr>
        <w:t>询比采购文件</w:t>
      </w:r>
    </w:p>
    <w:p/>
    <w:p>
      <w:pPr>
        <w:jc w:val="center"/>
      </w:pPr>
      <w:r>
        <w:rPr>
          <w:rFonts w:ascii="微软雅黑" w:hAnsi="微软雅黑" w:eastAsia="微软雅黑"/>
          <w:sz w:val="28"/>
        </w:rPr>
        <w:t>（技术、服务、商务要求）</w:t>
      </w:r>
    </w:p>
    <w:p/>
    <w:p/>
    <w:p/>
    <w:p/>
    <w:p/>
    <w:p/>
    <w:p>
      <w:pPr>
        <w:jc w:val="center"/>
      </w:pPr>
      <w:r>
        <w:rPr>
          <w:sz w:val="24"/>
        </w:rPr>
        <w:t>采购人：四川省机场集团航空地面服务有限公司</w:t>
      </w:r>
    </w:p>
    <w:p>
      <w:pPr>
        <w:jc w:val="center"/>
      </w:pPr>
      <w:r>
        <w:rPr>
          <w:sz w:val="24"/>
        </w:rPr>
        <w:t>2026年8月</w:t>
      </w:r>
    </w:p>
    <w:p>
      <w:r>
        <w:br w:type="page"/>
      </w:r>
    </w:p>
    <w:p>
      <w:pPr>
        <w:pStyle w:val="Heading1"/>
      </w:pPr>
      <w:r>
        <w:t>第五章 询比项目技术、服务、商务要求</w:t>
      </w:r>
    </w:p>
    <w:p>
      <w:pPr>
        <w:pStyle w:val="Heading2"/>
      </w:pPr>
      <w:r>
        <w:t>第一部分 项目基本情况概述</w:t>
      </w:r>
    </w:p>
    <w:p>
      <w:pPr>
        <w:pStyle w:val="Heading3"/>
      </w:pPr>
      <w:r>
        <w:t>1. 货运业务及补贴系统基本情况</w:t>
      </w:r>
    </w:p>
    <w:p>
      <w:r>
        <w:rPr>
          <w:rFonts w:ascii="微软雅黑" w:hAnsi="微软雅黑" w:eastAsia="微软雅黑"/>
          <w:b w:val="0"/>
          <w:sz w:val="21"/>
        </w:rPr>
        <w:t>（一）货运业务基本情况</w:t>
      </w:r>
    </w:p>
    <w:p>
      <w:r>
        <w:rPr>
          <w:rFonts w:ascii="微软雅黑" w:hAnsi="微软雅黑" w:eastAsia="微软雅黑"/>
          <w:b w:val="0"/>
          <w:sz w:val="21"/>
        </w:rPr>
        <w:t>四川省机场集团航空地面服务有限公司（以下简称"地服公司"）重要业务版块之一为货运业务，运营成都双流国际机场和成都天府国际机场两个货站。为贯彻落实成都机场货运扶持政策文件精神，提升成都机场（双流国际机场、天府国际机场）服务能级，发挥"两场一体"优势，推进国际航空货运枢纽建设，并充分发挥政府扶持资金的社会效能，地服公司依据《2026年新货运扶持政策实施细则》对智慧货运补贴系统进行全面升级改造。</w:t>
      </w:r>
    </w:p>
    <w:p>
      <w:r>
        <w:rPr>
          <w:rFonts w:ascii="微软雅黑" w:hAnsi="微软雅黑" w:eastAsia="微软雅黑"/>
          <w:b w:val="0"/>
          <w:sz w:val="21"/>
        </w:rPr>
        <w:t>（二）现有补贴系统情况</w:t>
      </w:r>
    </w:p>
    <w:p>
      <w:r>
        <w:rPr>
          <w:rFonts w:ascii="微软雅黑" w:hAnsi="微软雅黑" w:eastAsia="微软雅黑"/>
          <w:b w:val="0"/>
          <w:sz w:val="21"/>
        </w:rPr>
        <w:t>现行补贴系统面向货代企业开放补贴申报、统计报表等功能，与双流、天府两场货运生产系统及一站式服务平台协同运行，支持国内进出港货量奖励、国际全货机货量奖励、处置费补贴等补贴业务的申报与统计。</w:t>
      </w:r>
    </w:p>
    <w:p>
      <w:pPr>
        <w:pStyle w:val="Heading3"/>
      </w:pPr>
      <w:r>
        <w:t>2. 生产系统情况</w:t>
      </w:r>
    </w:p>
    <w:p>
      <w:r>
        <w:rPr>
          <w:rFonts w:ascii="微软雅黑" w:hAnsi="微软雅黑" w:eastAsia="微软雅黑"/>
          <w:b w:val="0"/>
          <w:sz w:val="21"/>
        </w:rPr>
        <w:t>（一）货运生产系统</w:t>
      </w:r>
    </w:p>
    <w:p>
      <w:r>
        <w:rPr>
          <w:rFonts w:ascii="微软雅黑" w:hAnsi="微软雅黑" w:eastAsia="微软雅黑"/>
          <w:b w:val="0"/>
          <w:sz w:val="21"/>
        </w:rPr>
        <w:t>双流、天府两场货站均建设有智慧货运生产系统，用于满足货物的收运、入库、组板、配载等作业环节的现场生产活动，包含收费、统计、数据电报传输、作业流程电子化等相关功能模块。本次升级改造涉及两场货运生产系统的统计报表同步改造。</w:t>
      </w:r>
    </w:p>
    <w:p>
      <w:r>
        <w:rPr>
          <w:rFonts w:ascii="微软雅黑" w:hAnsi="微软雅黑" w:eastAsia="微软雅黑"/>
          <w:b w:val="0"/>
          <w:sz w:val="21"/>
        </w:rPr>
        <w:t>（二）一站式服务平台</w:t>
      </w:r>
    </w:p>
    <w:p>
      <w:r>
        <w:rPr>
          <w:rFonts w:ascii="微软雅黑" w:hAnsi="微软雅黑" w:eastAsia="微软雅黑"/>
          <w:b w:val="0"/>
          <w:sz w:val="21"/>
        </w:rPr>
        <w:t>一站式服务平台面向货代企业提供统一登录、快速办理、综合查询、信息备案等服务。本次升级改造在一站式服务平台新增补贴申报提醒功能，提升货代申报及时率。</w:t>
      </w:r>
    </w:p>
    <w:p>
      <w:pPr>
        <w:pStyle w:val="Heading2"/>
      </w:pPr>
      <w:r>
        <w:t>第二部分 项目所涉系统功能概述</w:t>
      </w:r>
    </w:p>
    <w:p>
      <w:pPr>
        <w:pStyle w:val="Heading3"/>
      </w:pPr>
      <w:r>
        <w:t>1. 软件部分清单</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680"/>
            <w:shd w:val="clear" w:fill="4472C4"/>
          </w:tcPr>
          <w:p>
            <w:pPr>
              <w:jc w:val="center"/>
            </w:pPr>
            <w:r>
              <w:rPr>
                <w:b/>
                <w:color w:val="FFFFFF"/>
              </w:rPr>
              <w:t>序号</w:t>
            </w:r>
          </w:p>
        </w:tc>
        <w:tc>
          <w:tcPr>
            <w:tcW w:type="dxa" w:w="1984"/>
            <w:shd w:val="clear" w:fill="4472C4"/>
          </w:tcPr>
          <w:p>
            <w:pPr>
              <w:jc w:val="center"/>
            </w:pPr>
            <w:r>
              <w:rPr>
                <w:b/>
                <w:color w:val="FFFFFF"/>
              </w:rPr>
              <w:t>软件名称</w:t>
            </w:r>
          </w:p>
        </w:tc>
        <w:tc>
          <w:tcPr>
            <w:tcW w:type="dxa" w:w="4252"/>
            <w:shd w:val="clear" w:fill="4472C4"/>
          </w:tcPr>
          <w:p>
            <w:pPr>
              <w:jc w:val="center"/>
            </w:pPr>
            <w:r>
              <w:rPr>
                <w:b/>
                <w:color w:val="FFFFFF"/>
              </w:rPr>
              <w:t>规格型号（主要功能）</w:t>
            </w:r>
          </w:p>
        </w:tc>
        <w:tc>
          <w:tcPr>
            <w:tcW w:type="dxa" w:w="680"/>
            <w:shd w:val="clear" w:fill="4472C4"/>
          </w:tcPr>
          <w:p>
            <w:pPr>
              <w:jc w:val="center"/>
            </w:pPr>
            <w:r>
              <w:rPr>
                <w:b/>
                <w:color w:val="FFFFFF"/>
              </w:rPr>
              <w:t>单位</w:t>
            </w:r>
          </w:p>
        </w:tc>
        <w:tc>
          <w:tcPr>
            <w:tcW w:type="dxa" w:w="680"/>
            <w:shd w:val="clear" w:fill="4472C4"/>
          </w:tcPr>
          <w:p>
            <w:pPr>
              <w:jc w:val="center"/>
            </w:pPr>
            <w:r>
              <w:rPr>
                <w:b/>
                <w:color w:val="FFFFFF"/>
              </w:rPr>
              <w:t>数量</w:t>
            </w:r>
          </w:p>
        </w:tc>
        <w:tc>
          <w:tcPr>
            <w:tcW w:type="dxa" w:w="850"/>
            <w:shd w:val="clear" w:fill="4472C4"/>
          </w:tcPr>
          <w:p>
            <w:pPr>
              <w:jc w:val="center"/>
            </w:pPr>
            <w:r>
              <w:rPr>
                <w:b/>
                <w:color w:val="FFFFFF"/>
              </w:rPr>
              <w:t>备注</w:t>
            </w:r>
          </w:p>
        </w:tc>
      </w:tr>
      <w:tr>
        <w:tc>
          <w:tcPr>
            <w:tcW w:type="dxa" w:w="680"/>
          </w:tcPr>
          <w:p>
            <w:r>
              <w:t>一</w:t>
            </w:r>
          </w:p>
        </w:tc>
        <w:tc>
          <w:tcPr>
            <w:tcW w:type="dxa" w:w="1984"/>
          </w:tcPr>
          <w:p>
            <w:r>
              <w:t>应用软件</w:t>
            </w:r>
          </w:p>
        </w:tc>
        <w:tc>
          <w:tcPr>
            <w:tcW w:type="dxa" w:w="4252"/>
          </w:tcPr>
          <w:p>
            <w:r/>
          </w:p>
        </w:tc>
        <w:tc>
          <w:tcPr>
            <w:tcW w:type="dxa" w:w="680"/>
          </w:tcPr>
          <w:p>
            <w:r/>
          </w:p>
        </w:tc>
        <w:tc>
          <w:tcPr>
            <w:tcW w:type="dxa" w:w="680"/>
          </w:tcPr>
          <w:p>
            <w:r/>
          </w:p>
        </w:tc>
        <w:tc>
          <w:tcPr>
            <w:tcW w:type="dxa" w:w="850"/>
          </w:tcPr>
          <w:p>
            <w:r/>
          </w:p>
        </w:tc>
      </w:tr>
      <w:tr>
        <w:tc>
          <w:tcPr>
            <w:tcW w:type="dxa" w:w="680"/>
          </w:tcPr>
          <w:p>
            <w:r>
              <w:t>1</w:t>
            </w:r>
          </w:p>
        </w:tc>
        <w:tc>
          <w:tcPr>
            <w:tcW w:type="dxa" w:w="1984"/>
          </w:tcPr>
          <w:p>
            <w:r>
              <w:t>智慧货运补贴系统升级</w:t>
            </w:r>
          </w:p>
        </w:tc>
        <w:tc>
          <w:tcPr>
            <w:tcW w:type="dxa" w:w="4252"/>
          </w:tcPr>
          <w:p>
            <w:r>
              <w:t>1、申报时效管控 2、补贴类型改造（国内/国际/处置费） 3、中转货补贴扣减 4、补贴资格校验（电子发票核验） 5、统计自动化与待办 6、报表体系改造（五类报表+加锁） 7、市场部总览看板 8、补贴系统使用声明</w:t>
            </w:r>
          </w:p>
        </w:tc>
        <w:tc>
          <w:tcPr>
            <w:tcW w:type="dxa" w:w="680"/>
          </w:tcPr>
          <w:p>
            <w:r>
              <w:t>套</w:t>
            </w:r>
          </w:p>
        </w:tc>
        <w:tc>
          <w:tcPr>
            <w:tcW w:type="dxa" w:w="680"/>
          </w:tcPr>
          <w:p>
            <w:r>
              <w:t>1</w:t>
            </w:r>
          </w:p>
        </w:tc>
        <w:tc>
          <w:tcPr>
            <w:tcW w:type="dxa" w:w="850"/>
          </w:tcPr>
          <w:p>
            <w:r/>
          </w:p>
        </w:tc>
      </w:tr>
      <w:tr>
        <w:tc>
          <w:tcPr>
            <w:tcW w:type="dxa" w:w="680"/>
          </w:tcPr>
          <w:p>
            <w:r>
              <w:t>2</w:t>
            </w:r>
          </w:p>
        </w:tc>
        <w:tc>
          <w:tcPr>
            <w:tcW w:type="dxa" w:w="1984"/>
          </w:tcPr>
          <w:p>
            <w:r>
              <w:t>双流、天府货运系统升级</w:t>
            </w:r>
          </w:p>
        </w:tc>
        <w:tc>
          <w:tcPr>
            <w:tcW w:type="dxa" w:w="4252"/>
          </w:tcPr>
          <w:p>
            <w:r>
              <w:t>1、新增统计报表（国际进出港处置费补贴申请明细表、货站申领扶持资金数据统计表） 2、报表审批上报功能 3、与补贴系统数据对接</w:t>
            </w:r>
          </w:p>
        </w:tc>
        <w:tc>
          <w:tcPr>
            <w:tcW w:type="dxa" w:w="680"/>
          </w:tcPr>
          <w:p>
            <w:r>
              <w:t>套</w:t>
            </w:r>
          </w:p>
        </w:tc>
        <w:tc>
          <w:tcPr>
            <w:tcW w:type="dxa" w:w="680"/>
          </w:tcPr>
          <w:p>
            <w:r>
              <w:t>1</w:t>
            </w:r>
          </w:p>
        </w:tc>
        <w:tc>
          <w:tcPr>
            <w:tcW w:type="dxa" w:w="850"/>
          </w:tcPr>
          <w:p>
            <w:r/>
          </w:p>
        </w:tc>
      </w:tr>
      <w:tr>
        <w:tc>
          <w:tcPr>
            <w:tcW w:type="dxa" w:w="680"/>
          </w:tcPr>
          <w:p>
            <w:r>
              <w:t>3</w:t>
            </w:r>
          </w:p>
        </w:tc>
        <w:tc>
          <w:tcPr>
            <w:tcW w:type="dxa" w:w="1984"/>
          </w:tcPr>
          <w:p>
            <w:r>
              <w:t>一站式服务平台升级</w:t>
            </w:r>
          </w:p>
        </w:tc>
        <w:tc>
          <w:tcPr>
            <w:tcW w:type="dxa" w:w="4252"/>
          </w:tcPr>
          <w:p>
            <w:r>
              <w:t>补贴申报提醒功能（季度申报提醒、截止前提醒、快捷跳转）</w:t>
            </w:r>
          </w:p>
        </w:tc>
        <w:tc>
          <w:tcPr>
            <w:tcW w:type="dxa" w:w="680"/>
          </w:tcPr>
          <w:p>
            <w:r>
              <w:t>套</w:t>
            </w:r>
          </w:p>
        </w:tc>
        <w:tc>
          <w:tcPr>
            <w:tcW w:type="dxa" w:w="680"/>
          </w:tcPr>
          <w:p>
            <w:r>
              <w:t>1</w:t>
            </w:r>
          </w:p>
        </w:tc>
        <w:tc>
          <w:tcPr>
            <w:tcW w:type="dxa" w:w="850"/>
          </w:tcPr>
          <w:p>
            <w:r/>
          </w:p>
        </w:tc>
      </w:tr>
    </w:tbl>
    <w:p>
      <w:pPr>
        <w:pStyle w:val="Heading3"/>
      </w:pPr>
      <w:r>
        <w:t>2. 服务部分清单</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val="clear" w:fill="4472C4"/>
          </w:tcPr>
          <w:p>
            <w:pPr>
              <w:jc w:val="center"/>
            </w:pPr>
            <w:r>
              <w:rPr>
                <w:b/>
                <w:color w:val="FFFFFF"/>
              </w:rPr>
              <w:t>序号</w:t>
            </w:r>
          </w:p>
        </w:tc>
        <w:tc>
          <w:tcPr>
            <w:tcW w:type="dxa" w:w="1440"/>
            <w:shd w:val="clear" w:fill="4472C4"/>
          </w:tcPr>
          <w:p>
            <w:pPr>
              <w:jc w:val="center"/>
            </w:pPr>
            <w:r>
              <w:rPr>
                <w:b/>
                <w:color w:val="FFFFFF"/>
              </w:rPr>
              <w:t>服务名称</w:t>
            </w:r>
          </w:p>
        </w:tc>
        <w:tc>
          <w:tcPr>
            <w:tcW w:type="dxa" w:w="1440"/>
            <w:shd w:val="clear" w:fill="4472C4"/>
          </w:tcPr>
          <w:p>
            <w:pPr>
              <w:jc w:val="center"/>
            </w:pPr>
            <w:r>
              <w:rPr>
                <w:b/>
                <w:color w:val="FFFFFF"/>
              </w:rPr>
              <w:t>规格型号</w:t>
            </w:r>
          </w:p>
        </w:tc>
        <w:tc>
          <w:tcPr>
            <w:tcW w:type="dxa" w:w="1440"/>
            <w:shd w:val="clear" w:fill="4472C4"/>
          </w:tcPr>
          <w:p>
            <w:pPr>
              <w:jc w:val="center"/>
            </w:pPr>
            <w:r>
              <w:rPr>
                <w:b/>
                <w:color w:val="FFFFFF"/>
              </w:rPr>
              <w:t>单位</w:t>
            </w:r>
          </w:p>
        </w:tc>
        <w:tc>
          <w:tcPr>
            <w:tcW w:type="dxa" w:w="1440"/>
            <w:shd w:val="clear" w:fill="4472C4"/>
          </w:tcPr>
          <w:p>
            <w:pPr>
              <w:jc w:val="center"/>
            </w:pPr>
            <w:r>
              <w:rPr>
                <w:b/>
                <w:color w:val="FFFFFF"/>
              </w:rPr>
              <w:t>数量</w:t>
            </w:r>
          </w:p>
        </w:tc>
        <w:tc>
          <w:tcPr>
            <w:tcW w:type="dxa" w:w="1440"/>
            <w:shd w:val="clear" w:fill="4472C4"/>
          </w:tcPr>
          <w:p>
            <w:pPr>
              <w:jc w:val="center"/>
            </w:pPr>
            <w:r>
              <w:rPr>
                <w:b/>
                <w:color w:val="FFFFFF"/>
              </w:rPr>
              <w:t>备注</w:t>
            </w:r>
          </w:p>
        </w:tc>
      </w:tr>
      <w:tr>
        <w:tc>
          <w:tcPr>
            <w:tcW w:type="dxa" w:w="1440"/>
          </w:tcPr>
          <w:p>
            <w:r>
              <w:t>一</w:t>
            </w:r>
          </w:p>
        </w:tc>
        <w:tc>
          <w:tcPr>
            <w:tcW w:type="dxa" w:w="1440"/>
          </w:tcPr>
          <w:p>
            <w:r>
              <w:t>项目实施及培训</w:t>
            </w:r>
          </w:p>
        </w:tc>
        <w:tc>
          <w:tcPr>
            <w:tcW w:type="dxa" w:w="1440"/>
          </w:tcPr>
          <w:p>
            <w:r/>
          </w:p>
        </w:tc>
        <w:tc>
          <w:tcPr>
            <w:tcW w:type="dxa" w:w="1440"/>
          </w:tcPr>
          <w:p>
            <w:r/>
          </w:p>
        </w:tc>
        <w:tc>
          <w:tcPr>
            <w:tcW w:type="dxa" w:w="1440"/>
          </w:tcPr>
          <w:p>
            <w:r/>
          </w:p>
        </w:tc>
        <w:tc>
          <w:tcPr>
            <w:tcW w:type="dxa" w:w="1440"/>
          </w:tcPr>
          <w:p>
            <w:r/>
          </w:p>
        </w:tc>
      </w:tr>
      <w:tr>
        <w:tc>
          <w:tcPr>
            <w:tcW w:type="dxa" w:w="1440"/>
          </w:tcPr>
          <w:p>
            <w:r>
              <w:t>1</w:t>
            </w:r>
          </w:p>
        </w:tc>
        <w:tc>
          <w:tcPr>
            <w:tcW w:type="dxa" w:w="1440"/>
          </w:tcPr>
          <w:p>
            <w:r>
              <w:t>项目实施管理</w:t>
            </w:r>
          </w:p>
        </w:tc>
        <w:tc>
          <w:tcPr>
            <w:tcW w:type="dxa" w:w="1440"/>
          </w:tcPr>
          <w:p>
            <w:r>
              <w:t>定制</w:t>
            </w:r>
          </w:p>
        </w:tc>
        <w:tc>
          <w:tcPr>
            <w:tcW w:type="dxa" w:w="1440"/>
          </w:tcPr>
          <w:p>
            <w:r>
              <w:t>项</w:t>
            </w:r>
          </w:p>
        </w:tc>
        <w:tc>
          <w:tcPr>
            <w:tcW w:type="dxa" w:w="1440"/>
          </w:tcPr>
          <w:p>
            <w:r>
              <w:t>1</w:t>
            </w:r>
          </w:p>
        </w:tc>
        <w:tc>
          <w:tcPr>
            <w:tcW w:type="dxa" w:w="1440"/>
          </w:tcPr>
          <w:p>
            <w:r/>
          </w:p>
        </w:tc>
      </w:tr>
      <w:tr>
        <w:tc>
          <w:tcPr>
            <w:tcW w:type="dxa" w:w="1440"/>
          </w:tcPr>
          <w:p>
            <w:r>
              <w:t>2</w:t>
            </w:r>
          </w:p>
        </w:tc>
        <w:tc>
          <w:tcPr>
            <w:tcW w:type="dxa" w:w="1440"/>
          </w:tcPr>
          <w:p>
            <w:r>
              <w:t>系统集成</w:t>
            </w:r>
          </w:p>
        </w:tc>
        <w:tc>
          <w:tcPr>
            <w:tcW w:type="dxa" w:w="1440"/>
          </w:tcPr>
          <w:p>
            <w:r>
              <w:t>定制</w:t>
            </w:r>
          </w:p>
        </w:tc>
        <w:tc>
          <w:tcPr>
            <w:tcW w:type="dxa" w:w="1440"/>
          </w:tcPr>
          <w:p>
            <w:r>
              <w:t>项</w:t>
            </w:r>
          </w:p>
        </w:tc>
        <w:tc>
          <w:tcPr>
            <w:tcW w:type="dxa" w:w="1440"/>
          </w:tcPr>
          <w:p>
            <w:r>
              <w:t>1</w:t>
            </w:r>
          </w:p>
        </w:tc>
        <w:tc>
          <w:tcPr>
            <w:tcW w:type="dxa" w:w="1440"/>
          </w:tcPr>
          <w:p>
            <w:r/>
          </w:p>
        </w:tc>
      </w:tr>
      <w:tr>
        <w:tc>
          <w:tcPr>
            <w:tcW w:type="dxa" w:w="1440"/>
          </w:tcPr>
          <w:p>
            <w:r>
              <w:t>3</w:t>
            </w:r>
          </w:p>
        </w:tc>
        <w:tc>
          <w:tcPr>
            <w:tcW w:type="dxa" w:w="1440"/>
          </w:tcPr>
          <w:p>
            <w:r>
              <w:t>综合联调</w:t>
            </w:r>
          </w:p>
        </w:tc>
        <w:tc>
          <w:tcPr>
            <w:tcW w:type="dxa" w:w="1440"/>
          </w:tcPr>
          <w:p>
            <w:r>
              <w:t>定制</w:t>
            </w:r>
          </w:p>
        </w:tc>
        <w:tc>
          <w:tcPr>
            <w:tcW w:type="dxa" w:w="1440"/>
          </w:tcPr>
          <w:p>
            <w:r>
              <w:t>项</w:t>
            </w:r>
          </w:p>
        </w:tc>
        <w:tc>
          <w:tcPr>
            <w:tcW w:type="dxa" w:w="1440"/>
          </w:tcPr>
          <w:p>
            <w:r>
              <w:t>1</w:t>
            </w:r>
          </w:p>
        </w:tc>
        <w:tc>
          <w:tcPr>
            <w:tcW w:type="dxa" w:w="1440"/>
          </w:tcPr>
          <w:p>
            <w:r/>
          </w:p>
        </w:tc>
      </w:tr>
      <w:tr>
        <w:tc>
          <w:tcPr>
            <w:tcW w:type="dxa" w:w="1440"/>
          </w:tcPr>
          <w:p>
            <w:r>
              <w:t>4</w:t>
            </w:r>
          </w:p>
        </w:tc>
        <w:tc>
          <w:tcPr>
            <w:tcW w:type="dxa" w:w="1440"/>
          </w:tcPr>
          <w:p>
            <w:r>
              <w:t>试运行</w:t>
            </w:r>
          </w:p>
        </w:tc>
        <w:tc>
          <w:tcPr>
            <w:tcW w:type="dxa" w:w="1440"/>
          </w:tcPr>
          <w:p>
            <w:r>
              <w:t>3个月</w:t>
            </w:r>
          </w:p>
        </w:tc>
        <w:tc>
          <w:tcPr>
            <w:tcW w:type="dxa" w:w="1440"/>
          </w:tcPr>
          <w:p>
            <w:r>
              <w:t>项</w:t>
            </w:r>
          </w:p>
        </w:tc>
        <w:tc>
          <w:tcPr>
            <w:tcW w:type="dxa" w:w="1440"/>
          </w:tcPr>
          <w:p>
            <w:r>
              <w:t>1</w:t>
            </w:r>
          </w:p>
        </w:tc>
        <w:tc>
          <w:tcPr>
            <w:tcW w:type="dxa" w:w="1440"/>
          </w:tcPr>
          <w:p>
            <w:r/>
          </w:p>
        </w:tc>
      </w:tr>
      <w:tr>
        <w:tc>
          <w:tcPr>
            <w:tcW w:type="dxa" w:w="1440"/>
          </w:tcPr>
          <w:p>
            <w:r>
              <w:t>5</w:t>
            </w:r>
          </w:p>
        </w:tc>
        <w:tc>
          <w:tcPr>
            <w:tcW w:type="dxa" w:w="1440"/>
          </w:tcPr>
          <w:p>
            <w:r>
              <w:t>现场培训</w:t>
            </w:r>
          </w:p>
        </w:tc>
        <w:tc>
          <w:tcPr>
            <w:tcW w:type="dxa" w:w="1440"/>
          </w:tcPr>
          <w:p>
            <w:r>
              <w:t>5天</w:t>
            </w:r>
          </w:p>
        </w:tc>
        <w:tc>
          <w:tcPr>
            <w:tcW w:type="dxa" w:w="1440"/>
          </w:tcPr>
          <w:p>
            <w:r>
              <w:t>项</w:t>
            </w:r>
          </w:p>
        </w:tc>
        <w:tc>
          <w:tcPr>
            <w:tcW w:type="dxa" w:w="1440"/>
          </w:tcPr>
          <w:p>
            <w:r>
              <w:t>1</w:t>
            </w:r>
          </w:p>
        </w:tc>
        <w:tc>
          <w:tcPr>
            <w:tcW w:type="dxa" w:w="1440"/>
          </w:tcPr>
          <w:p>
            <w:r/>
          </w:p>
        </w:tc>
      </w:tr>
      <w:tr>
        <w:tc>
          <w:tcPr>
            <w:tcW w:type="dxa" w:w="1440"/>
          </w:tcPr>
          <w:p>
            <w:r>
              <w:t>二</w:t>
            </w:r>
          </w:p>
        </w:tc>
        <w:tc>
          <w:tcPr>
            <w:tcW w:type="dxa" w:w="1440"/>
          </w:tcPr>
          <w:p>
            <w:r>
              <w:t>售后服务</w:t>
            </w:r>
          </w:p>
        </w:tc>
        <w:tc>
          <w:tcPr>
            <w:tcW w:type="dxa" w:w="1440"/>
          </w:tcPr>
          <w:p>
            <w:r/>
          </w:p>
        </w:tc>
        <w:tc>
          <w:tcPr>
            <w:tcW w:type="dxa" w:w="1440"/>
          </w:tcPr>
          <w:p>
            <w:r/>
          </w:p>
        </w:tc>
        <w:tc>
          <w:tcPr>
            <w:tcW w:type="dxa" w:w="1440"/>
          </w:tcPr>
          <w:p>
            <w:r/>
          </w:p>
        </w:tc>
        <w:tc>
          <w:tcPr>
            <w:tcW w:type="dxa" w:w="1440"/>
          </w:tcPr>
          <w:p>
            <w:r/>
          </w:p>
        </w:tc>
      </w:tr>
      <w:tr>
        <w:tc>
          <w:tcPr>
            <w:tcW w:type="dxa" w:w="1440"/>
          </w:tcPr>
          <w:p>
            <w:r>
              <w:t>1</w:t>
            </w:r>
          </w:p>
        </w:tc>
        <w:tc>
          <w:tcPr>
            <w:tcW w:type="dxa" w:w="1440"/>
          </w:tcPr>
          <w:p>
            <w:r>
              <w:t>7×24小时技术支持</w:t>
            </w:r>
          </w:p>
        </w:tc>
        <w:tc>
          <w:tcPr>
            <w:tcW w:type="dxa" w:w="1440"/>
          </w:tcPr>
          <w:p>
            <w:r>
              <w:t>自验收证书签署之日起2年</w:t>
            </w:r>
          </w:p>
        </w:tc>
        <w:tc>
          <w:tcPr>
            <w:tcW w:type="dxa" w:w="1440"/>
          </w:tcPr>
          <w:p>
            <w:r>
              <w:t>项</w:t>
            </w:r>
          </w:p>
        </w:tc>
        <w:tc>
          <w:tcPr>
            <w:tcW w:type="dxa" w:w="1440"/>
          </w:tcPr>
          <w:p>
            <w:r>
              <w:t>1</w:t>
            </w:r>
          </w:p>
        </w:tc>
        <w:tc>
          <w:tcPr>
            <w:tcW w:type="dxa" w:w="1440"/>
          </w:tcPr>
          <w:p>
            <w:r/>
          </w:p>
        </w:tc>
      </w:tr>
      <w:tr>
        <w:tc>
          <w:tcPr>
            <w:tcW w:type="dxa" w:w="1440"/>
          </w:tcPr>
          <w:p>
            <w:r>
              <w:t>2</w:t>
            </w:r>
          </w:p>
        </w:tc>
        <w:tc>
          <w:tcPr>
            <w:tcW w:type="dxa" w:w="1440"/>
          </w:tcPr>
          <w:p>
            <w:r>
              <w:t>年度现场巡检，每年一次</w:t>
            </w:r>
          </w:p>
        </w:tc>
        <w:tc>
          <w:tcPr>
            <w:tcW w:type="dxa" w:w="1440"/>
          </w:tcPr>
          <w:p>
            <w:r>
              <w:t>自验收证书签署之日起2年</w:t>
            </w:r>
          </w:p>
        </w:tc>
        <w:tc>
          <w:tcPr>
            <w:tcW w:type="dxa" w:w="1440"/>
          </w:tcPr>
          <w:p>
            <w:r>
              <w:t>项</w:t>
            </w:r>
          </w:p>
        </w:tc>
        <w:tc>
          <w:tcPr>
            <w:tcW w:type="dxa" w:w="1440"/>
          </w:tcPr>
          <w:p>
            <w:r>
              <w:t>1</w:t>
            </w:r>
          </w:p>
        </w:tc>
        <w:tc>
          <w:tcPr>
            <w:tcW w:type="dxa" w:w="1440"/>
          </w:tcPr>
          <w:p>
            <w:r/>
          </w:p>
        </w:tc>
      </w:tr>
      <w:tr>
        <w:tc>
          <w:tcPr>
            <w:tcW w:type="dxa" w:w="1440"/>
          </w:tcPr>
          <w:p>
            <w:r>
              <w:t>3</w:t>
            </w:r>
          </w:p>
        </w:tc>
        <w:tc>
          <w:tcPr>
            <w:tcW w:type="dxa" w:w="1440"/>
          </w:tcPr>
          <w:p>
            <w:r>
              <w:t>重大事件保障（双方协商）</w:t>
            </w:r>
          </w:p>
        </w:tc>
        <w:tc>
          <w:tcPr>
            <w:tcW w:type="dxa" w:w="1440"/>
          </w:tcPr>
          <w:p>
            <w:r>
              <w:t>自验收证书签署之日起2年</w:t>
            </w:r>
          </w:p>
        </w:tc>
        <w:tc>
          <w:tcPr>
            <w:tcW w:type="dxa" w:w="1440"/>
          </w:tcPr>
          <w:p>
            <w:r>
              <w:t>项</w:t>
            </w:r>
          </w:p>
        </w:tc>
        <w:tc>
          <w:tcPr>
            <w:tcW w:type="dxa" w:w="1440"/>
          </w:tcPr>
          <w:p>
            <w:r>
              <w:t>1</w:t>
            </w:r>
          </w:p>
        </w:tc>
        <w:tc>
          <w:tcPr>
            <w:tcW w:type="dxa" w:w="1440"/>
          </w:tcPr>
          <w:p>
            <w:r/>
          </w:p>
        </w:tc>
      </w:tr>
      <w:tr>
        <w:tc>
          <w:tcPr>
            <w:tcW w:type="dxa" w:w="1440"/>
          </w:tcPr>
          <w:p>
            <w:r>
              <w:t>三</w:t>
            </w:r>
          </w:p>
        </w:tc>
        <w:tc>
          <w:tcPr>
            <w:tcW w:type="dxa" w:w="1440"/>
          </w:tcPr>
          <w:p>
            <w:r>
              <w:t>质保期</w:t>
            </w:r>
          </w:p>
        </w:tc>
        <w:tc>
          <w:tcPr>
            <w:tcW w:type="dxa" w:w="1440"/>
          </w:tcPr>
          <w:p>
            <w:r>
              <w:t>自验收证书签署之日起2年</w:t>
            </w:r>
          </w:p>
        </w:tc>
        <w:tc>
          <w:tcPr>
            <w:tcW w:type="dxa" w:w="1440"/>
          </w:tcPr>
          <w:p>
            <w:r>
              <w:t>项</w:t>
            </w:r>
          </w:p>
        </w:tc>
        <w:tc>
          <w:tcPr>
            <w:tcW w:type="dxa" w:w="1440"/>
          </w:tcPr>
          <w:p>
            <w:r>
              <w:t>1</w:t>
            </w:r>
          </w:p>
        </w:tc>
        <w:tc>
          <w:tcPr>
            <w:tcW w:type="dxa" w:w="1440"/>
          </w:tcPr>
          <w:p>
            <w:r/>
          </w:p>
        </w:tc>
      </w:tr>
    </w:tbl>
    <w:p>
      <w:pPr>
        <w:pStyle w:val="Heading3"/>
      </w:pPr>
      <w:r>
        <w:t>3. 清单要求</w:t>
      </w:r>
    </w:p>
    <w:p>
      <w:r>
        <w:rPr>
          <w:rFonts w:ascii="微软雅黑" w:hAnsi="微软雅黑" w:eastAsia="微软雅黑"/>
          <w:b w:val="0"/>
          <w:sz w:val="21"/>
        </w:rPr>
        <w:t>（一）主要软件、服务清单仅指本次询比的主要供货范围，是本项目的必要组成部分，并非详细完整配置。供应商须根据自己的方案列出清单内软件、服务的名称、原厂商、供应商、品牌、产地、型号、版本的详细内容，并包含在响应报价中。</w:t>
      </w:r>
    </w:p>
    <w:p>
      <w:r>
        <w:rPr>
          <w:rFonts w:ascii="微软雅黑" w:hAnsi="微软雅黑" w:eastAsia="微软雅黑"/>
          <w:b w:val="0"/>
          <w:sz w:val="21"/>
        </w:rPr>
        <w:t>（二）本技术规格书仅指本项目的主要要求，不应作为完整的详细的要求，供应商需根据询比文件的技术要求等，提供完整的详细的解决方案，并计入响应总价。如果满足本技术规格书所要求的系统功能和性能所需的软件、附件、工具和服务等未列入响应总价，则认为这些软件、附件、工具和服务等的价格已经包含在响应文件的相对应的软件、附件、工具和服务价格中，因此在项目实施中，需要补充的这些软件、附件、工具和服务，供应商必须在不变更响应总价的前提下无条件予以补足。</w:t>
      </w:r>
    </w:p>
    <w:p>
      <w:r>
        <w:rPr>
          <w:rFonts w:ascii="微软雅黑" w:hAnsi="微软雅黑" w:eastAsia="微软雅黑"/>
          <w:b w:val="0"/>
          <w:sz w:val="21"/>
        </w:rPr>
        <w:t>（三）本项目为纯软件升级项目，不涉及新购硬件设备。项目运行所需的服务器、网络等基础设施复用现有资源，供应商应在方案中说明对现有基础设施的资源需求。</w:t>
      </w:r>
    </w:p>
    <w:p>
      <w:r>
        <w:rPr>
          <w:rFonts w:ascii="微软雅黑" w:hAnsi="微软雅黑" w:eastAsia="微软雅黑"/>
          <w:b w:val="0"/>
          <w:sz w:val="21"/>
        </w:rPr>
        <w:t>（四）供应商需对本项目系统各功能正常运行所需要对接的现有业务系统数据纳入接口相关清单项中，并在综合报价中统一考虑。进场后不得以设计方案细化为由增加工程量变更。</w:t>
      </w:r>
    </w:p>
    <w:p>
      <w:pPr>
        <w:pStyle w:val="Heading3"/>
      </w:pPr>
      <w:r>
        <w:t>4. 技术要求</w:t>
      </w:r>
    </w:p>
    <w:p>
      <w:pPr>
        <w:pStyle w:val="Heading4"/>
      </w:pPr>
      <w:r>
        <w:t>4.1 整体技术架构</w:t>
      </w:r>
    </w:p>
    <w:p>
      <w:r>
        <w:rPr>
          <w:rFonts w:ascii="微软雅黑" w:hAnsi="微软雅黑" w:eastAsia="微软雅黑"/>
          <w:b w:val="0"/>
          <w:sz w:val="21"/>
        </w:rPr>
        <w:t>本次项目涉及智慧货运补贴系统升级改造和双流、天府货运生产系统统计报表新增及审批上报功能建设以及一站式服务平台提醒功能建设，在遵守各系统已有技术架构前提下，符合机场集团相关管理要求和资源规划要求进行规划和设计。</w:t>
      </w:r>
    </w:p>
    <w:p>
      <w:pPr>
        <w:pStyle w:val="Heading4"/>
      </w:pPr>
      <w:r>
        <w:t>4.2 系统功能要求</w:t>
      </w:r>
    </w:p>
    <w:p>
      <w:pPr>
        <w:pStyle w:val="Heading4"/>
      </w:pPr>
      <w:r>
        <w:t>4.2.1 智慧货运补贴系统升级（参数）</w:t>
      </w:r>
    </w:p>
    <w:p>
      <w:r>
        <w:rPr>
          <w:rFonts w:ascii="微软雅黑" w:hAnsi="微软雅黑" w:eastAsia="微软雅黑"/>
          <w:b/>
          <w:sz w:val="21"/>
        </w:rPr>
        <w:t>申报时效管控要求</w:t>
      </w:r>
    </w:p>
    <w:p>
      <w:r>
        <w:rPr>
          <w:rFonts w:ascii="微软雅黑" w:hAnsi="微软雅黑" w:eastAsia="微软雅黑"/>
          <w:b w:val="0"/>
          <w:sz w:val="21"/>
        </w:rPr>
        <w:t>满足补贴申报窗口期管控场景：每季度结束后，系统管控当季申报窗口，有效期为10个自然日；时间起算以季度最后一日（3月31日、6月30日、9月30日、12月31日）次日0时起算，连续10个自然日；超出10个自然日后系统自动关闭申报入口，货代无法新建或编辑申报单。取消原有手工补录功能，所有数据必须在时效内通过系统录入或从生产系统自动抽取。</w:t>
      </w:r>
    </w:p>
    <w:p>
      <w:r>
        <w:rPr>
          <w:rFonts w:ascii="微软雅黑" w:hAnsi="微软雅黑" w:eastAsia="微软雅黑"/>
          <w:b/>
          <w:sz w:val="21"/>
        </w:rPr>
        <w:t>补贴类型改造要求</w:t>
      </w:r>
    </w:p>
    <w:p>
      <w:r>
        <w:rPr>
          <w:rFonts w:ascii="微软雅黑" w:hAnsi="微软雅黑" w:eastAsia="微软雅黑"/>
          <w:b w:val="0"/>
          <w:sz w:val="21"/>
        </w:rPr>
        <w:t>满足新版货运扶持政策下三类补贴业务的申报与统计场景：</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val="clear" w:fill="4472C4"/>
          </w:tcPr>
          <w:p>
            <w:pPr>
              <w:jc w:val="center"/>
            </w:pPr>
            <w:r>
              <w:rPr>
                <w:b/>
                <w:color w:val="FFFFFF"/>
              </w:rPr>
              <w:t>补贴类型</w:t>
            </w:r>
          </w:p>
        </w:tc>
        <w:tc>
          <w:tcPr>
            <w:tcW w:type="dxa" w:w="1728"/>
            <w:shd w:val="clear" w:fill="4472C4"/>
          </w:tcPr>
          <w:p>
            <w:pPr>
              <w:jc w:val="center"/>
            </w:pPr>
            <w:r>
              <w:rPr>
                <w:b/>
                <w:color w:val="FFFFFF"/>
              </w:rPr>
              <w:t>申报主体</w:t>
            </w:r>
          </w:p>
        </w:tc>
        <w:tc>
          <w:tcPr>
            <w:tcW w:type="dxa" w:w="1728"/>
            <w:shd w:val="clear" w:fill="4472C4"/>
          </w:tcPr>
          <w:p>
            <w:pPr>
              <w:jc w:val="center"/>
            </w:pPr>
            <w:r>
              <w:rPr>
                <w:b/>
                <w:color w:val="FFFFFF"/>
              </w:rPr>
              <w:t>奖励/补贴标准</w:t>
            </w:r>
          </w:p>
        </w:tc>
        <w:tc>
          <w:tcPr>
            <w:tcW w:type="dxa" w:w="1728"/>
            <w:shd w:val="clear" w:fill="4472C4"/>
          </w:tcPr>
          <w:p>
            <w:pPr>
              <w:jc w:val="center"/>
            </w:pPr>
            <w:r>
              <w:rPr>
                <w:b/>
                <w:color w:val="FFFFFF"/>
              </w:rPr>
              <w:t>对应报表</w:t>
            </w:r>
          </w:p>
        </w:tc>
        <w:tc>
          <w:tcPr>
            <w:tcW w:type="dxa" w:w="1728"/>
            <w:shd w:val="clear" w:fill="4472C4"/>
          </w:tcPr>
          <w:p>
            <w:pPr>
              <w:jc w:val="center"/>
            </w:pPr>
            <w:r>
              <w:rPr>
                <w:b/>
                <w:color w:val="FFFFFF"/>
              </w:rPr>
              <w:t>审核单位</w:t>
            </w:r>
          </w:p>
        </w:tc>
      </w:tr>
      <w:tr>
        <w:tc>
          <w:tcPr>
            <w:tcW w:type="dxa" w:w="1728"/>
          </w:tcPr>
          <w:p>
            <w:r>
              <w:t>国内货量奖励</w:t>
            </w:r>
          </w:p>
        </w:tc>
        <w:tc>
          <w:tcPr>
            <w:tcW w:type="dxa" w:w="1728"/>
          </w:tcPr>
          <w:p>
            <w:r>
              <w:t>货代企业</w:t>
            </w:r>
          </w:p>
        </w:tc>
        <w:tc>
          <w:tcPr>
            <w:tcW w:type="dxa" w:w="1728"/>
          </w:tcPr>
          <w:p>
            <w:r>
              <w:t>0.2元/㎏</w:t>
            </w:r>
          </w:p>
        </w:tc>
        <w:tc>
          <w:tcPr>
            <w:tcW w:type="dxa" w:w="1728"/>
          </w:tcPr>
          <w:p>
            <w:r>
              <w:t>货代企业国内进出港货量奖励申请表（季度）</w:t>
            </w:r>
          </w:p>
        </w:tc>
        <w:tc>
          <w:tcPr>
            <w:tcW w:type="dxa" w:w="1728"/>
          </w:tcPr>
          <w:p>
            <w:r>
              <w:t>市场部</w:t>
            </w:r>
          </w:p>
        </w:tc>
      </w:tr>
      <w:tr>
        <w:tc>
          <w:tcPr>
            <w:tcW w:type="dxa" w:w="1728"/>
          </w:tcPr>
          <w:p>
            <w:r>
              <w:t>国际全货机货量奖励</w:t>
            </w:r>
          </w:p>
        </w:tc>
        <w:tc>
          <w:tcPr>
            <w:tcW w:type="dxa" w:w="1728"/>
          </w:tcPr>
          <w:p>
            <w:r>
              <w:t>货代企业</w:t>
            </w:r>
          </w:p>
        </w:tc>
        <w:tc>
          <w:tcPr>
            <w:tcW w:type="dxa" w:w="1728"/>
          </w:tcPr>
          <w:p>
            <w:r>
              <w:t>2.0元/㎏</w:t>
            </w:r>
          </w:p>
        </w:tc>
        <w:tc>
          <w:tcPr>
            <w:tcW w:type="dxa" w:w="1728"/>
          </w:tcPr>
          <w:p>
            <w:r>
              <w:t>货代企业国际全货机进出港货量奖励申请表（季度）</w:t>
            </w:r>
          </w:p>
        </w:tc>
        <w:tc>
          <w:tcPr>
            <w:tcW w:type="dxa" w:w="1728"/>
          </w:tcPr>
          <w:p>
            <w:r>
              <w:t>市场部</w:t>
            </w:r>
          </w:p>
        </w:tc>
      </w:tr>
      <w:tr>
        <w:tc>
          <w:tcPr>
            <w:tcW w:type="dxa" w:w="1728"/>
          </w:tcPr>
          <w:p>
            <w:r>
              <w:t>处置费补贴</w:t>
            </w:r>
          </w:p>
        </w:tc>
        <w:tc>
          <w:tcPr>
            <w:tcW w:type="dxa" w:w="1728"/>
          </w:tcPr>
          <w:p>
            <w:r>
              <w:t>货站</w:t>
            </w:r>
          </w:p>
        </w:tc>
        <w:tc>
          <w:tcPr>
            <w:tcW w:type="dxa" w:w="1728"/>
          </w:tcPr>
          <w:p>
            <w:r>
              <w:t>按费率</w:t>
            </w:r>
          </w:p>
        </w:tc>
        <w:tc>
          <w:tcPr>
            <w:tcW w:type="dxa" w:w="1728"/>
          </w:tcPr>
          <w:p>
            <w:r>
              <w:t>国际进出港处置费补贴申请明细表（季度）</w:t>
            </w:r>
          </w:p>
        </w:tc>
        <w:tc>
          <w:tcPr>
            <w:tcW w:type="dxa" w:w="1728"/>
          </w:tcPr>
          <w:p>
            <w:r>
              <w:t>财务</w:t>
            </w:r>
          </w:p>
        </w:tc>
      </w:tr>
    </w:tbl>
    <w:p>
      <w:r>
        <w:rPr>
          <w:rFonts w:ascii="微软雅黑" w:hAnsi="微软雅黑" w:eastAsia="微软雅黑"/>
          <w:b/>
          <w:sz w:val="21"/>
        </w:rPr>
        <w:t>中转货补贴扣减要求</w:t>
      </w:r>
    </w:p>
    <w:p>
      <w:r>
        <w:rPr>
          <w:rFonts w:ascii="微软雅黑" w:hAnsi="微软雅黑" w:eastAsia="微软雅黑"/>
          <w:b w:val="0"/>
          <w:sz w:val="21"/>
        </w:rPr>
        <w:t>针对通票/通单模式下的中转货物，系统自动识别并标记中转货属性；中转业务可同时申请进港和出港货量奖励，但需在报表备注列注明中转标识；通票模式下货量统计时间统一以出港航班起飞时间为准；如同一货物被重复申报，系统自动触发扣减校验，提示操作人员处理。</w:t>
      </w:r>
    </w:p>
    <w:p>
      <w:r>
        <w:rPr>
          <w:rFonts w:ascii="微软雅黑" w:hAnsi="微软雅黑" w:eastAsia="微软雅黑"/>
          <w:b/>
          <w:sz w:val="21"/>
        </w:rPr>
        <w:t>补贴资格校验要求</w:t>
      </w:r>
    </w:p>
    <w:p>
      <w:r>
        <w:rPr>
          <w:rFonts w:ascii="微软雅黑" w:hAnsi="微软雅黑" w:eastAsia="微软雅黑"/>
          <w:b w:val="0"/>
          <w:sz w:val="21"/>
        </w:rPr>
        <w:t>对于柜台现结业务，货代申报时必须上传增值税电子发票（电子文件或图片均可）或者由系统自动关联电子发票；系统自动校验发票：发票抬头需与申请企业名称一致；校验不通过时，申报提交提示"发票异常"，不可提交至货站核对，并提示货代可手动上传发票电子版作为附件来进行申报；月结业务免于上传发票。</w:t>
      </w:r>
    </w:p>
    <w:p>
      <w:r>
        <w:rPr>
          <w:rFonts w:ascii="微软雅黑" w:hAnsi="微软雅黑" w:eastAsia="微软雅黑"/>
          <w:b/>
          <w:sz w:val="21"/>
        </w:rPr>
        <w:t>统计自动化要求</w:t>
      </w:r>
    </w:p>
    <w:p>
      <w:r>
        <w:rPr>
          <w:rFonts w:ascii="微软雅黑" w:hAnsi="微软雅黑" w:eastAsia="微软雅黑"/>
          <w:b w:val="0"/>
          <w:sz w:val="21"/>
        </w:rPr>
        <w:t>系统自动从生产系统获取：增值税电子发票数据、货站处置费费率数据、各运单计费重量数据；数据获取时机为季度报表生成周期（季度次月2日自动生成）；自动获取的数据仅作为参考，最终以人工确认数据为准并加锁。</w:t>
      </w:r>
    </w:p>
    <w:p>
      <w:r>
        <w:rPr>
          <w:rFonts w:ascii="微软雅黑" w:hAnsi="微软雅黑" w:eastAsia="微软雅黑"/>
          <w:b/>
          <w:sz w:val="21"/>
        </w:rPr>
        <w:t>统计确认待办要求</w:t>
      </w:r>
    </w:p>
    <w:p>
      <w:r>
        <w:rPr>
          <w:rFonts w:ascii="微软雅黑" w:hAnsi="微软雅黑" w:eastAsia="微软雅黑"/>
          <w:b w:val="0"/>
          <w:sz w:val="21"/>
        </w:rPr>
        <w:t>货代侧：每季度次月初（季度结束后第1个工作日）系统自动推送"季度申报待办"通知；市场部侧：货代完成申报并经货站核对后，自动触发市场部确认待办任务；市场部确认通过后，系统自动生成本季度所有相关奖励报表，并联动生成货站申领数据统计表；待办任务支持批量操作，支持备注说明。</w:t>
      </w:r>
    </w:p>
    <w:p>
      <w:r>
        <w:rPr>
          <w:rFonts w:ascii="微软雅黑" w:hAnsi="微软雅黑" w:eastAsia="微软雅黑"/>
          <w:b/>
          <w:sz w:val="21"/>
        </w:rPr>
        <w:t>报表体系要求</w:t>
      </w:r>
    </w:p>
    <w:p>
      <w:r>
        <w:rPr>
          <w:rFonts w:ascii="微软雅黑" w:hAnsi="微软雅黑" w:eastAsia="微软雅黑"/>
          <w:b w:val="0"/>
          <w:sz w:val="21"/>
        </w:rPr>
        <w:t>系统须实现以下五类报表的建设与改造：</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val="clear" w:fill="4472C4"/>
          </w:tcPr>
          <w:p>
            <w:pPr>
              <w:jc w:val="center"/>
            </w:pPr>
            <w:r>
              <w:rPr>
                <w:b/>
                <w:color w:val="FFFFFF"/>
              </w:rPr>
              <w:t>序号</w:t>
            </w:r>
          </w:p>
        </w:tc>
        <w:tc>
          <w:tcPr>
            <w:tcW w:type="dxa" w:w="1728"/>
            <w:shd w:val="clear" w:fill="4472C4"/>
          </w:tcPr>
          <w:p>
            <w:pPr>
              <w:jc w:val="center"/>
            </w:pPr>
            <w:r>
              <w:rPr>
                <w:b/>
                <w:color w:val="FFFFFF"/>
              </w:rPr>
              <w:t>报表名称</w:t>
            </w:r>
          </w:p>
        </w:tc>
        <w:tc>
          <w:tcPr>
            <w:tcW w:type="dxa" w:w="1728"/>
            <w:shd w:val="clear" w:fill="4472C4"/>
          </w:tcPr>
          <w:p>
            <w:pPr>
              <w:jc w:val="center"/>
            </w:pPr>
            <w:r>
              <w:rPr>
                <w:b/>
                <w:color w:val="FFFFFF"/>
              </w:rPr>
              <w:t>填报主体</w:t>
            </w:r>
          </w:p>
        </w:tc>
        <w:tc>
          <w:tcPr>
            <w:tcW w:type="dxa" w:w="1728"/>
            <w:shd w:val="clear" w:fill="4472C4"/>
          </w:tcPr>
          <w:p>
            <w:pPr>
              <w:jc w:val="center"/>
            </w:pPr>
            <w:r>
              <w:rPr>
                <w:b/>
                <w:color w:val="FFFFFF"/>
              </w:rPr>
              <w:t>审核主体</w:t>
            </w:r>
          </w:p>
        </w:tc>
        <w:tc>
          <w:tcPr>
            <w:tcW w:type="dxa" w:w="1728"/>
            <w:shd w:val="clear" w:fill="4472C4"/>
          </w:tcPr>
          <w:p>
            <w:pPr>
              <w:jc w:val="center"/>
            </w:pPr>
            <w:r>
              <w:rPr>
                <w:b/>
                <w:color w:val="FFFFFF"/>
              </w:rPr>
              <w:t>核心要求</w:t>
            </w:r>
          </w:p>
        </w:tc>
      </w:tr>
      <w:tr>
        <w:tc>
          <w:tcPr>
            <w:tcW w:type="dxa" w:w="1728"/>
          </w:tcPr>
          <w:p>
            <w:r>
              <w:t>1</w:t>
            </w:r>
          </w:p>
        </w:tc>
        <w:tc>
          <w:tcPr>
            <w:tcW w:type="dxa" w:w="1728"/>
          </w:tcPr>
          <w:p>
            <w:r>
              <w:t>货代企业国内进出港货量奖励申请表（季度）</w:t>
            </w:r>
          </w:p>
        </w:tc>
        <w:tc>
          <w:tcPr>
            <w:tcW w:type="dxa" w:w="1728"/>
          </w:tcPr>
          <w:p>
            <w:r>
              <w:t>货代企业</w:t>
            </w:r>
          </w:p>
        </w:tc>
        <w:tc>
          <w:tcPr>
            <w:tcW w:type="dxa" w:w="1728"/>
          </w:tcPr>
          <w:p>
            <w:r>
              <w:t>货站</w:t>
            </w:r>
          </w:p>
        </w:tc>
        <w:tc>
          <w:tcPr>
            <w:tcW w:type="dxa" w:w="1728"/>
          </w:tcPr>
          <w:p>
            <w:r>
              <w:t>按进港/出港航班维度记录件数、毛重，每季度次月2日自动生成，货代确认后加锁</w:t>
            </w:r>
          </w:p>
        </w:tc>
      </w:tr>
      <w:tr>
        <w:tc>
          <w:tcPr>
            <w:tcW w:type="dxa" w:w="1728"/>
          </w:tcPr>
          <w:p>
            <w:r>
              <w:t>2</w:t>
            </w:r>
          </w:p>
        </w:tc>
        <w:tc>
          <w:tcPr>
            <w:tcW w:type="dxa" w:w="1728"/>
          </w:tcPr>
          <w:p>
            <w:r>
              <w:t>货代企业国际全货机进出港货量奖励申请表（季度）</w:t>
            </w:r>
          </w:p>
        </w:tc>
        <w:tc>
          <w:tcPr>
            <w:tcW w:type="dxa" w:w="1728"/>
          </w:tcPr>
          <w:p>
            <w:r>
              <w:t>货代企业</w:t>
            </w:r>
          </w:p>
        </w:tc>
        <w:tc>
          <w:tcPr>
            <w:tcW w:type="dxa" w:w="1728"/>
          </w:tcPr>
          <w:p>
            <w:r>
              <w:t>货站</w:t>
            </w:r>
          </w:p>
        </w:tc>
        <w:tc>
          <w:tcPr>
            <w:tcW w:type="dxa" w:w="1728"/>
          </w:tcPr>
          <w:p>
            <w:r>
              <w:t>字段结构与国内表基本相同，标准2.0元/㎏</w:t>
            </w:r>
          </w:p>
        </w:tc>
      </w:tr>
      <w:tr>
        <w:tc>
          <w:tcPr>
            <w:tcW w:type="dxa" w:w="1728"/>
          </w:tcPr>
          <w:p>
            <w:r>
              <w:t>3</w:t>
            </w:r>
          </w:p>
        </w:tc>
        <w:tc>
          <w:tcPr>
            <w:tcW w:type="dxa" w:w="1728"/>
          </w:tcPr>
          <w:p>
            <w:r>
              <w:t>货代企业奖励数据确认表（季度）</w:t>
            </w:r>
          </w:p>
        </w:tc>
        <w:tc>
          <w:tcPr>
            <w:tcW w:type="dxa" w:w="1728"/>
          </w:tcPr>
          <w:p>
            <w:r>
              <w:t>货代企业</w:t>
            </w:r>
          </w:p>
        </w:tc>
        <w:tc>
          <w:tcPr>
            <w:tcW w:type="dxa" w:w="1728"/>
          </w:tcPr>
          <w:p>
            <w:r>
              <w:t>货站</w:t>
            </w:r>
          </w:p>
        </w:tc>
        <w:tc>
          <w:tcPr>
            <w:tcW w:type="dxa" w:w="1728"/>
          </w:tcPr>
          <w:p>
            <w:r>
              <w:t>汇总本季度所有奖励类型合计数据，市场部确认后自动关联生成</w:t>
            </w:r>
          </w:p>
        </w:tc>
      </w:tr>
      <w:tr>
        <w:tc>
          <w:tcPr>
            <w:tcW w:type="dxa" w:w="1728"/>
          </w:tcPr>
          <w:p>
            <w:r>
              <w:t>4</w:t>
            </w:r>
          </w:p>
        </w:tc>
        <w:tc>
          <w:tcPr>
            <w:tcW w:type="dxa" w:w="1728"/>
          </w:tcPr>
          <w:p>
            <w:r>
              <w:t>国际进出港处置费补贴申请明细表（季度）</w:t>
            </w:r>
          </w:p>
        </w:tc>
        <w:tc>
          <w:tcPr>
            <w:tcW w:type="dxa" w:w="1728"/>
          </w:tcPr>
          <w:p>
            <w:r>
              <w:t>地服财务</w:t>
            </w:r>
          </w:p>
        </w:tc>
        <w:tc>
          <w:tcPr>
            <w:tcW w:type="dxa" w:w="1728"/>
          </w:tcPr>
          <w:p>
            <w:r>
              <w:t>—</w:t>
            </w:r>
          </w:p>
        </w:tc>
        <w:tc>
          <w:tcPr>
            <w:tcW w:type="dxa" w:w="1728"/>
          </w:tcPr>
          <w:p>
            <w:r>
              <w:t>补贴数据从货运系统抽取，含运单号、计费重量、处置费、支付方式等字段</w:t>
            </w:r>
          </w:p>
        </w:tc>
      </w:tr>
      <w:tr>
        <w:tc>
          <w:tcPr>
            <w:tcW w:type="dxa" w:w="1728"/>
          </w:tcPr>
          <w:p>
            <w:r>
              <w:t>5</w:t>
            </w:r>
          </w:p>
        </w:tc>
        <w:tc>
          <w:tcPr>
            <w:tcW w:type="dxa" w:w="1728"/>
          </w:tcPr>
          <w:p>
            <w:r>
              <w:t>货站申领扶持资金数据统计表（季度）</w:t>
            </w:r>
          </w:p>
        </w:tc>
        <w:tc>
          <w:tcPr>
            <w:tcW w:type="dxa" w:w="1728"/>
          </w:tcPr>
          <w:p>
            <w:r>
              <w:t>地服财务</w:t>
            </w:r>
          </w:p>
        </w:tc>
        <w:tc>
          <w:tcPr>
            <w:tcW w:type="dxa" w:w="1728"/>
          </w:tcPr>
          <w:p>
            <w:r>
              <w:t>—</w:t>
            </w:r>
          </w:p>
        </w:tc>
        <w:tc>
          <w:tcPr>
            <w:tcW w:type="dxa" w:w="1728"/>
          </w:tcPr>
          <w:p>
            <w:r>
              <w:t>机场向口岸物流办申请拨款依据，与货运系统报表数据统一</w:t>
            </w:r>
          </w:p>
        </w:tc>
      </w:tr>
    </w:tbl>
    <w:p>
      <w:r>
        <w:rPr>
          <w:rFonts w:ascii="微软雅黑" w:hAnsi="微软雅黑" w:eastAsia="微软雅黑"/>
          <w:b w:val="0"/>
          <w:sz w:val="21"/>
        </w:rPr>
        <w:t>报表加锁机制：货代点击"确认"后，表单加锁，不可再修改；已确认（加锁）的报表不得修改，操作日志永久保留。</w:t>
      </w:r>
    </w:p>
    <w:p>
      <w:r>
        <w:rPr>
          <w:rFonts w:ascii="微软雅黑" w:hAnsi="微软雅黑" w:eastAsia="微软雅黑"/>
          <w:b/>
          <w:sz w:val="21"/>
        </w:rPr>
        <w:t>市场部总览看板要求</w:t>
      </w:r>
    </w:p>
    <w:p>
      <w:r>
        <w:rPr>
          <w:rFonts w:ascii="微软雅黑" w:hAnsi="微软雅黑" w:eastAsia="微软雅黑"/>
          <w:b w:val="0"/>
          <w:sz w:val="21"/>
        </w:rPr>
        <w:t>满足市场部对全部货代企业季度申报确认情况的汇总监控场景：支持按年份+季度筛选；展示内容包括货代企业名称、申报状态、申报时间、货量（㎏）、奖励金额（元）、确认状态；支持导出表格文件用于对接口岸物流办审核；支持在线确认操作，货代确认后自动触发相关奖励报表批量生成。</w:t>
      </w:r>
    </w:p>
    <w:p>
      <w:r>
        <w:rPr>
          <w:rFonts w:ascii="微软雅黑" w:hAnsi="微软雅黑" w:eastAsia="微软雅黑"/>
          <w:b/>
          <w:sz w:val="21"/>
        </w:rPr>
        <w:t>补贴系统使用声明要求</w:t>
      </w:r>
    </w:p>
    <w:p>
      <w:r>
        <w:rPr>
          <w:rFonts w:ascii="微软雅黑" w:hAnsi="微软雅黑" w:eastAsia="微软雅黑"/>
          <w:b w:val="0"/>
          <w:sz w:val="21"/>
        </w:rPr>
        <w:t>当货代申报超时（超过10个自然日）时，系统自动触发"超期不能申报"提醒；声明记录永久保存，可供后续审计溯源；货代首次登录，系统弹出补贴系统使用声明，货代需阅读，10秒后点击已阅读，系统使用声明将不再自动展示。</w:t>
      </w:r>
    </w:p>
    <w:p>
      <w:pPr>
        <w:pStyle w:val="Heading4"/>
      </w:pPr>
      <w:r>
        <w:t>4.2.2 双流、天府货运系统升级（参数）</w:t>
      </w:r>
    </w:p>
    <w:p>
      <w:r>
        <w:rPr>
          <w:rFonts w:ascii="微软雅黑" w:hAnsi="微软雅黑" w:eastAsia="微软雅黑"/>
          <w:b w:val="0"/>
          <w:sz w:val="21"/>
        </w:rPr>
        <w:t>两场货运生产系统升级改造须实现新增统计报表建设、报表审批上报功能以及与智慧货运补贴系统的数据对接，满足补贴业务统计报表的标准化生成、审批上报与数据交互需求。</w:t>
      </w:r>
    </w:p>
    <w:p>
      <w:r>
        <w:rPr>
          <w:rFonts w:ascii="微软雅黑" w:hAnsi="微软雅黑" w:eastAsia="微软雅黑"/>
          <w:b/>
          <w:sz w:val="21"/>
        </w:rPr>
        <w:t>新增统计报表要求</w:t>
      </w:r>
    </w:p>
    <w:p>
      <w:r>
        <w:rPr>
          <w:rFonts w:ascii="微软雅黑" w:hAnsi="微软雅黑" w:eastAsia="微软雅黑"/>
          <w:b w:val="0"/>
          <w:sz w:val="21"/>
        </w:rPr>
        <w:t>在两场货运生产系统中新增国际进出港处置费补贴申请明细表（季度）、货站申领扶持资金数据统计表（季度）两类统计报表：补贴数据以生产系统实际计费数据为准自动抽取；统计口径以生产系统中航空货物运单实际计费重量数据为准，时间以计费时间（到柜台缴费/挂账时间）为准。</w:t>
      </w:r>
    </w:p>
    <w:p>
      <w:r>
        <w:rPr>
          <w:rFonts w:ascii="微软雅黑" w:hAnsi="微软雅黑" w:eastAsia="微软雅黑"/>
          <w:b/>
          <w:sz w:val="21"/>
        </w:rPr>
        <w:t>报表审批上报功能要求</w:t>
      </w:r>
    </w:p>
    <w:p>
      <w:r>
        <w:rPr>
          <w:rFonts w:ascii="微软雅黑" w:hAnsi="微软雅黑" w:eastAsia="微软雅黑"/>
          <w:b w:val="0"/>
          <w:sz w:val="21"/>
        </w:rPr>
        <w:t>新增统计报表须支持完整的审批上报流程：报表生成后经货站内部审核，审核通过后上报至智慧货运补贴系统进入补贴申领流程；支持报表的提交、审核、退回、上报等状态流转；审批过程留痕，操作日志可追溯；支持报表的打印与导出。</w:t>
      </w:r>
    </w:p>
    <w:p>
      <w:r>
        <w:rPr>
          <w:rFonts w:ascii="微软雅黑" w:hAnsi="微软雅黑" w:eastAsia="微软雅黑"/>
          <w:b/>
          <w:sz w:val="21"/>
        </w:rPr>
        <w:t>数据对接要求</w:t>
      </w:r>
    </w:p>
    <w:p>
      <w:r>
        <w:rPr>
          <w:rFonts w:ascii="微软雅黑" w:hAnsi="微软雅黑" w:eastAsia="微软雅黑"/>
          <w:b w:val="0"/>
          <w:sz w:val="21"/>
        </w:rPr>
        <w:t>两场货运生产系统须与补贴系统建立数据对接，自动提供运单计费重量、处置费实收金额、计费时间、支付方式（现结/月结）等数据，保障季度报表自动生成的数据来源。</w:t>
      </w:r>
    </w:p>
    <w:p>
      <w:r>
        <w:rPr>
          <w:rFonts w:ascii="微软雅黑" w:hAnsi="微软雅黑" w:eastAsia="微软雅黑"/>
          <w:b/>
          <w:sz w:val="21"/>
        </w:rPr>
        <w:t>实施要求</w:t>
      </w:r>
    </w:p>
    <w:p>
      <w:r>
        <w:rPr>
          <w:rFonts w:ascii="微软雅黑" w:hAnsi="微软雅黑" w:eastAsia="微软雅黑"/>
          <w:b w:val="0"/>
          <w:sz w:val="21"/>
        </w:rPr>
        <w:t>基于双流、天府两场现有货运生产系统进行升级，不影响系统现有功能与日常生产运行。</w:t>
      </w:r>
    </w:p>
    <w:p>
      <w:pPr>
        <w:pStyle w:val="Heading4"/>
      </w:pPr>
      <w:r>
        <w:t>4.2.3 一站式服务平台升级（参数）</w:t>
      </w:r>
    </w:p>
    <w:p>
      <w:r>
        <w:rPr>
          <w:rFonts w:ascii="微软雅黑" w:hAnsi="微软雅黑" w:eastAsia="微软雅黑"/>
          <w:b w:val="0"/>
          <w:sz w:val="21"/>
        </w:rPr>
        <w:t>在一站式服务平台（面向货代企业）新增补贴申报提醒模块：</w:t>
      </w:r>
    </w:p>
    <w:tbl>
      <w:tblPr>
        <w:tblStyle w:val="TableGrid"/>
        <w:tblW w:type="auto" w:w="0"/>
        <w:jc w:val="center"/>
        <w:tblLook w:firstColumn="1" w:firstRow="1" w:lastColumn="0" w:lastRow="0" w:noHBand="0" w:noVBand="1" w:val="04A0"/>
      </w:tblPr>
      <w:tblGrid>
        <w:gridCol w:w="4320"/>
        <w:gridCol w:w="4320"/>
      </w:tblGrid>
      <w:tr>
        <w:tc>
          <w:tcPr>
            <w:tcW w:type="dxa" w:w="4320"/>
            <w:shd w:val="clear" w:fill="4472C4"/>
          </w:tcPr>
          <w:p>
            <w:pPr>
              <w:jc w:val="center"/>
            </w:pPr>
            <w:r>
              <w:rPr>
                <w:b/>
                <w:color w:val="FFFFFF"/>
              </w:rPr>
              <w:t>要求项</w:t>
            </w:r>
          </w:p>
        </w:tc>
        <w:tc>
          <w:tcPr>
            <w:tcW w:type="dxa" w:w="4320"/>
            <w:shd w:val="clear" w:fill="4472C4"/>
          </w:tcPr>
          <w:p>
            <w:pPr>
              <w:jc w:val="center"/>
            </w:pPr>
            <w:r>
              <w:rPr>
                <w:b/>
                <w:color w:val="FFFFFF"/>
              </w:rPr>
              <w:t>具体要求</w:t>
            </w:r>
          </w:p>
        </w:tc>
      </w:tr>
      <w:tr>
        <w:tc>
          <w:tcPr>
            <w:tcW w:type="dxa" w:w="4320"/>
          </w:tcPr>
          <w:p>
            <w:r>
              <w:t>提醒方式</w:t>
            </w:r>
          </w:p>
        </w:tc>
        <w:tc>
          <w:tcPr>
            <w:tcW w:type="dxa" w:w="4320"/>
          </w:tcPr>
          <w:p>
            <w:r>
              <w:t>系统消息通知 + 平台首页提示</w:t>
            </w:r>
          </w:p>
        </w:tc>
      </w:tr>
      <w:tr>
        <w:tc>
          <w:tcPr>
            <w:tcW w:type="dxa" w:w="4320"/>
          </w:tcPr>
          <w:p>
            <w:r>
              <w:t>提醒时机</w:t>
            </w:r>
          </w:p>
        </w:tc>
        <w:tc>
          <w:tcPr>
            <w:tcW w:type="dxa" w:w="4320"/>
          </w:tcPr>
          <w:p>
            <w:r>
              <w:t>季度结束后第1个工作日推送"季度申报提醒"；距截止日期剩余2天再次提醒</w:t>
            </w:r>
          </w:p>
        </w:tc>
      </w:tr>
      <w:tr>
        <w:tc>
          <w:tcPr>
            <w:tcW w:type="dxa" w:w="4320"/>
          </w:tcPr>
          <w:p>
            <w:r>
              <w:t>提醒内容</w:t>
            </w:r>
          </w:p>
        </w:tc>
        <w:tc>
          <w:tcPr>
            <w:tcW w:type="dxa" w:w="4320"/>
          </w:tcPr>
          <w:p>
            <w:r>
              <w:t>本季度应申报类型（国内/国际）、截止时间、快捷跳转按钮</w:t>
            </w:r>
          </w:p>
        </w:tc>
      </w:tr>
      <w:tr>
        <w:tc>
          <w:tcPr>
            <w:tcW w:type="dxa" w:w="4320"/>
          </w:tcPr>
          <w:p>
            <w:r>
              <w:t>提醒去重</w:t>
            </w:r>
          </w:p>
        </w:tc>
        <w:tc>
          <w:tcPr>
            <w:tcW w:type="dxa" w:w="4320"/>
          </w:tcPr>
          <w:p>
            <w:r>
              <w:t>已完成申报且已确认的货代不再显示提醒</w:t>
            </w:r>
          </w:p>
        </w:tc>
      </w:tr>
    </w:tbl>
    <w:p>
      <w:pPr>
        <w:pStyle w:val="Heading4"/>
      </w:pPr>
      <w:r>
        <w:t>4.3 数据统计口径要求</w:t>
      </w:r>
    </w:p>
    <w:p>
      <w:r>
        <w:rPr>
          <w:rFonts w:ascii="微软雅黑" w:hAnsi="微软雅黑" w:eastAsia="微软雅黑"/>
          <w:b w:val="0"/>
          <w:sz w:val="21"/>
        </w:rPr>
        <w:t>以下为系统核心统计口径，所有计算模块须严格遵守：</w:t>
      </w:r>
    </w:p>
    <w:tbl>
      <w:tblPr>
        <w:tblStyle w:val="TableGrid"/>
        <w:tblW w:type="auto" w:w="0"/>
        <w:jc w:val="center"/>
        <w:tblLook w:firstColumn="1" w:firstRow="1" w:lastColumn="0" w:lastRow="0" w:noHBand="0" w:noVBand="1" w:val="04A0"/>
      </w:tblPr>
      <w:tblGrid>
        <w:gridCol w:w="4320"/>
        <w:gridCol w:w="4320"/>
      </w:tblGrid>
      <w:tr>
        <w:tc>
          <w:tcPr>
            <w:tcW w:type="dxa" w:w="4320"/>
            <w:shd w:val="clear" w:fill="4472C4"/>
          </w:tcPr>
          <w:p>
            <w:pPr>
              <w:jc w:val="center"/>
            </w:pPr>
            <w:r>
              <w:rPr>
                <w:b/>
                <w:color w:val="FFFFFF"/>
              </w:rPr>
              <w:t>口径规则</w:t>
            </w:r>
          </w:p>
        </w:tc>
        <w:tc>
          <w:tcPr>
            <w:tcW w:type="dxa" w:w="4320"/>
            <w:shd w:val="clear" w:fill="4472C4"/>
          </w:tcPr>
          <w:p>
            <w:pPr>
              <w:jc w:val="center"/>
            </w:pPr>
            <w:r>
              <w:rPr>
                <w:b/>
                <w:color w:val="FFFFFF"/>
              </w:rPr>
              <w:t>说明</w:t>
            </w:r>
          </w:p>
        </w:tc>
      </w:tr>
      <w:tr>
        <w:tc>
          <w:tcPr>
            <w:tcW w:type="dxa" w:w="4320"/>
          </w:tcPr>
          <w:p>
            <w:r>
              <w:t>进港时间</w:t>
            </w:r>
          </w:p>
        </w:tc>
        <w:tc>
          <w:tcPr>
            <w:tcW w:type="dxa" w:w="4320"/>
          </w:tcPr>
          <w:p>
            <w:r>
              <w:t>以实际提货时间为准；分单/分批提货，以最后一批完成提货时间为准</w:t>
            </w:r>
          </w:p>
        </w:tc>
      </w:tr>
      <w:tr>
        <w:tc>
          <w:tcPr>
            <w:tcW w:type="dxa" w:w="4320"/>
          </w:tcPr>
          <w:p>
            <w:r>
              <w:t>出港时间</w:t>
            </w:r>
          </w:p>
        </w:tc>
        <w:tc>
          <w:tcPr>
            <w:tcW w:type="dxa" w:w="4320"/>
          </w:tcPr>
          <w:p>
            <w:r>
              <w:t>以航班起飞时间为准；分单/分批出港，以最后一批完成出港时间为准</w:t>
            </w:r>
          </w:p>
        </w:tc>
      </w:tr>
      <w:tr>
        <w:tc>
          <w:tcPr>
            <w:tcW w:type="dxa" w:w="4320"/>
          </w:tcPr>
          <w:p>
            <w:r>
              <w:t>计费重量</w:t>
            </w:r>
          </w:p>
        </w:tc>
        <w:tc>
          <w:tcPr>
            <w:tcW w:type="dxa" w:w="4320"/>
          </w:tcPr>
          <w:p>
            <w:r>
              <w:t>以生产系统中航空货物运单实际计费重量数据为准</w:t>
            </w:r>
          </w:p>
        </w:tc>
      </w:tr>
      <w:tr>
        <w:tc>
          <w:tcPr>
            <w:tcW w:type="dxa" w:w="4320"/>
          </w:tcPr>
          <w:p>
            <w:r>
              <w:t>计费时间</w:t>
            </w:r>
          </w:p>
        </w:tc>
        <w:tc>
          <w:tcPr>
            <w:tcW w:type="dxa" w:w="4320"/>
          </w:tcPr>
          <w:p>
            <w:r>
              <w:t>每票货物达到收费条件时在柜台办理缴费（现结）或挂账（月结）的时间</w:t>
            </w:r>
          </w:p>
        </w:tc>
      </w:tr>
      <w:tr>
        <w:tc>
          <w:tcPr>
            <w:tcW w:type="dxa" w:w="4320"/>
          </w:tcPr>
          <w:p>
            <w:r>
              <w:t>数据来源</w:t>
            </w:r>
          </w:p>
        </w:tc>
        <w:tc>
          <w:tcPr>
            <w:tcW w:type="dxa" w:w="4320"/>
          </w:tcPr>
          <w:p>
            <w:r>
              <w:t>以双流/天府机场各航空货站生产系统数据为准（疑义时提供舱单/报关单等佐证）</w:t>
            </w:r>
          </w:p>
        </w:tc>
      </w:tr>
      <w:tr>
        <w:tc>
          <w:tcPr>
            <w:tcW w:type="dxa" w:w="4320"/>
          </w:tcPr>
          <w:p>
            <w:r>
              <w:t>货量单位</w:t>
            </w:r>
          </w:p>
        </w:tc>
        <w:tc>
          <w:tcPr>
            <w:tcW w:type="dxa" w:w="4320"/>
          </w:tcPr>
          <w:p>
            <w:r>
              <w:t>公斤（㎏），精确到整数</w:t>
            </w:r>
          </w:p>
        </w:tc>
      </w:tr>
      <w:tr>
        <w:tc>
          <w:tcPr>
            <w:tcW w:type="dxa" w:w="4320"/>
          </w:tcPr>
          <w:p>
            <w:r>
              <w:t>金额单位</w:t>
            </w:r>
          </w:p>
        </w:tc>
        <w:tc>
          <w:tcPr>
            <w:tcW w:type="dxa" w:w="4320"/>
          </w:tcPr>
          <w:p>
            <w:r>
              <w:t>元（扶持资金精确到2位小数）</w:t>
            </w:r>
          </w:p>
        </w:tc>
      </w:tr>
    </w:tbl>
    <w:p>
      <w:pPr>
        <w:pStyle w:val="Heading4"/>
      </w:pPr>
      <w:r>
        <w:t>4.4 数据留存与安全要求</w:t>
      </w:r>
    </w:p>
    <w:p>
      <w:r>
        <w:rPr>
          <w:rFonts w:ascii="微软雅黑" w:hAnsi="微软雅黑" w:eastAsia="微软雅黑"/>
          <w:b w:val="0"/>
          <w:sz w:val="21"/>
        </w:rPr>
        <w:t>（一）本实施细则实施期间形成的所有统计数据、佐证材料，需在细则实施结束后留存3年。</w:t>
      </w:r>
    </w:p>
    <w:p>
      <w:r>
        <w:rPr>
          <w:rFonts w:ascii="微软雅黑" w:hAnsi="微软雅黑" w:eastAsia="微软雅黑"/>
          <w:b w:val="0"/>
          <w:sz w:val="21"/>
        </w:rPr>
        <w:t>（二）系统中所有已确认（加锁）的报表不得修改，操作日志永久保留。</w:t>
      </w:r>
    </w:p>
    <w:p>
      <w:r>
        <w:rPr>
          <w:rFonts w:ascii="微软雅黑" w:hAnsi="微软雅黑" w:eastAsia="微软雅黑"/>
          <w:b w:val="0"/>
          <w:sz w:val="21"/>
        </w:rPr>
        <w:t>（三）电子发票等附件材料需在系统中归档。</w:t>
      </w:r>
    </w:p>
    <w:p>
      <w:r>
        <w:rPr>
          <w:rFonts w:ascii="微软雅黑" w:hAnsi="微软雅黑" w:eastAsia="微软雅黑"/>
          <w:b w:val="0"/>
          <w:sz w:val="21"/>
        </w:rPr>
        <w:t>（四）系统须实现完整的权限控制：货代企业仅可创建/编辑/查看本企业申报表；市场部具有核对/确认及总览查看权限；系统管理员负责账号、权限与系统参数管理。</w:t>
      </w:r>
    </w:p>
    <w:p>
      <w:pPr>
        <w:pStyle w:val="Heading3"/>
      </w:pPr>
      <w:r>
        <w:t>5. 实施要求</w:t>
      </w:r>
    </w:p>
    <w:p>
      <w:r>
        <w:rPr>
          <w:rFonts w:ascii="微软雅黑" w:hAnsi="微软雅黑" w:eastAsia="微软雅黑"/>
          <w:b w:val="0"/>
          <w:sz w:val="21"/>
        </w:rPr>
        <w:t>（一）工期：供应商应在收到成交通知书后45日历日内完成系统开发、部署及调试。部署及调试完成后，系统进入为期3个月的试运行。在试运行结束后，进行验收。在验收通过后，本项目投产，采购人颁发《最终验收证明》，之后进入为期2年的系统缺陷责任期。</w:t>
      </w:r>
    </w:p>
    <w:p>
      <w:r>
        <w:rPr>
          <w:rFonts w:ascii="微软雅黑" w:hAnsi="微软雅黑" w:eastAsia="微软雅黑"/>
          <w:b w:val="0"/>
          <w:sz w:val="21"/>
        </w:rPr>
        <w:t>（二）服务地点：成都双流国际机场、成都天府国际机场。</w:t>
      </w:r>
    </w:p>
    <w:p>
      <w:r>
        <w:rPr>
          <w:rFonts w:ascii="微软雅黑" w:hAnsi="微软雅黑" w:eastAsia="微软雅黑"/>
          <w:b w:val="0"/>
          <w:sz w:val="21"/>
        </w:rPr>
        <w:t>（三）供应商须在响应文件中提供项目实施计划，明确各阶段工作内容、里程碑与人员安排。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微软雅黑" w:hAnsi="微软雅黑" w:eastAsia="微软雅黑"/>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微软雅黑" w:hAnsi="微软雅黑" w:eastAsia="微软雅黑"/>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微软雅黑" w:hAnsi="微软雅黑" w:eastAsia="微软雅黑"/>
      <w:b/>
      <w:bCs/>
      <w:color w:val="1F3A5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微软雅黑" w:hAnsi="微软雅黑" w:eastAsia="微软雅黑"/>
      <w:b/>
      <w:bCs/>
      <w:i/>
      <w:iCs/>
      <w:color w:val="1F3A5F"/>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