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微软雅黑" w:hAnsi="微软雅黑" w:eastAsia="微软雅黑"/>
          <w:b/>
          <w:sz w:val="44"/>
        </w:rPr>
        <w:t>四川省机场集团航空地面服务有限公司</w:t>
      </w:r>
    </w:p>
    <w:p>
      <w:pPr>
        <w:jc w:val="center"/>
      </w:pPr>
      <w:r>
        <w:rPr>
          <w:rFonts w:ascii="微软雅黑" w:hAnsi="微软雅黑" w:eastAsia="微软雅黑"/>
          <w:b/>
          <w:sz w:val="44"/>
        </w:rPr>
        <w:t>智慧货运航司对接平台项目</w:t>
      </w:r>
    </w:p>
    <w:p>
      <w:pPr>
        <w:jc w:val="center"/>
      </w:pPr>
      <w:r>
        <w:rPr>
          <w:rFonts w:ascii="微软雅黑" w:hAnsi="微软雅黑" w:eastAsia="微软雅黑"/>
          <w:b/>
          <w:sz w:val="36"/>
        </w:rPr>
        <w:t>询比采购文件</w:t>
      </w:r>
    </w:p>
    <w:p>
      <w:pPr>
        <w:jc w:val="center"/>
      </w:pPr>
      <w:r>
        <w:rPr>
          <w:rFonts w:ascii="微软雅黑" w:hAnsi="微软雅黑" w:eastAsia="微软雅黑"/>
          <w:b/>
          <w:sz w:val="28"/>
        </w:rPr>
        <w:t>（技术、服务、商务要求）</w:t>
      </w:r>
    </w:p>
    <w:p/>
    <w:p/>
    <w:p/>
    <w:p/>
    <w:p/>
    <w:p/>
    <w:p>
      <w:pPr>
        <w:jc w:val="center"/>
      </w:pPr>
      <w:r>
        <w:rPr>
          <w:sz w:val="24"/>
        </w:rPr>
        <w:t>采购人：四川省机场集团航空地面服务有限公司</w:t>
      </w:r>
    </w:p>
    <w:p>
      <w:pPr>
        <w:jc w:val="center"/>
      </w:pPr>
      <w:r>
        <w:rPr>
          <w:sz w:val="24"/>
        </w:rPr>
        <w:t>2026年8月</w:t>
      </w:r>
    </w:p>
    <w:p>
      <w:r>
        <w:br w:type="page"/>
      </w:r>
    </w:p>
    <w:p>
      <w:pPr>
        <w:pStyle w:val="Heading1"/>
      </w:pPr>
      <w:r>
        <w:t>第五章 询比项目技术、服务、商务要求</w:t>
      </w:r>
    </w:p>
    <w:p>
      <w:pPr>
        <w:pStyle w:val="Heading2"/>
      </w:pPr>
      <w:r>
        <w:t>第一部分 项目基本情况概述</w:t>
      </w:r>
    </w:p>
    <w:p>
      <w:pPr>
        <w:pStyle w:val="Heading3"/>
      </w:pPr>
      <w:r>
        <w:t>1. 货运业务及航司对接现状</w:t>
      </w:r>
    </w:p>
    <w:p>
      <w:r>
        <w:rPr>
          <w:rFonts w:ascii="微软雅黑" w:hAnsi="微软雅黑" w:eastAsia="微软雅黑"/>
          <w:b w:val="0"/>
          <w:sz w:val="21"/>
        </w:rPr>
        <w:t>（一）货运业务基本情况</w:t>
      </w:r>
    </w:p>
    <w:p>
      <w:r>
        <w:rPr>
          <w:rFonts w:ascii="微软雅黑" w:hAnsi="微软雅黑" w:eastAsia="微软雅黑"/>
          <w:b w:val="0"/>
          <w:sz w:val="21"/>
        </w:rPr>
        <w:t>四川省机场集团航空地面服务有限公司（以下简称"地服公司"）重要业务版块之一为货运业务，运营成都双流国际机场和成都天府国际机场两个货站。两场货站均建设有智慧货运生产系统，用于满足货物的收运、入库、组板、配载等作业环节的现场生产活动；同时建设有一站式服务平台，面向货代企业提供统一登录、快速办理、综合查询、信息备案等服务。</w:t>
      </w:r>
    </w:p>
    <w:p>
      <w:r>
        <w:rPr>
          <w:rFonts w:ascii="微软雅黑" w:hAnsi="微软雅黑" w:eastAsia="微软雅黑"/>
          <w:b w:val="0"/>
          <w:sz w:val="21"/>
        </w:rPr>
        <w:t>（二）航司数据对接现状</w:t>
      </w:r>
    </w:p>
    <w:p>
      <w:r>
        <w:rPr>
          <w:rFonts w:ascii="微软雅黑" w:hAnsi="微软雅黑" w:eastAsia="微软雅黑"/>
          <w:b w:val="0"/>
          <w:sz w:val="21"/>
        </w:rPr>
        <w:t>随着成都国际航空货运枢纽建设推进，各航空公司陆续提出与机场货运系统进行数据对接的需求。目前四川航空（川航）、四川省国际航空货运发展有限公司（四川货航）、顺丰航空等航司均存在与机场货站系统的对接诉求，对接内容包括：航司系统向机场提供出港运单信息、订舱信息、进港运单信息，机场货站向航司提供货邮舱单（FFM）、货物状态（FSU系列）等报文信息，以及跨货站中转数据、货物组装与复称数据等。</w:t>
      </w:r>
    </w:p>
    <w:p>
      <w:pPr>
        <w:pStyle w:val="Heading3"/>
      </w:pPr>
      <w:r>
        <w:t>2. 生产系统情况</w:t>
      </w:r>
    </w:p>
    <w:p>
      <w:r>
        <w:rPr>
          <w:rFonts w:ascii="微软雅黑" w:hAnsi="微软雅黑" w:eastAsia="微软雅黑"/>
          <w:b w:val="0"/>
          <w:sz w:val="21"/>
        </w:rPr>
        <w:t>（一）智慧货运生产系统</w:t>
      </w:r>
    </w:p>
    <w:p>
      <w:r>
        <w:rPr>
          <w:rFonts w:ascii="微软雅黑" w:hAnsi="微软雅黑" w:eastAsia="微软雅黑"/>
          <w:b w:val="0"/>
          <w:sz w:val="21"/>
        </w:rPr>
        <w:t>双流、天府两场货站均建设有智慧货运生产系统，包含收费、统计、数据电报传输、作业流程电子化等相关功能模块。本次项目涉及两场货运生产系统的报文服务升级（UWS称重报文对接）。</w:t>
      </w:r>
    </w:p>
    <w:p>
      <w:r>
        <w:rPr>
          <w:rFonts w:ascii="微软雅黑" w:hAnsi="微软雅黑" w:eastAsia="微软雅黑"/>
          <w:b w:val="0"/>
          <w:sz w:val="21"/>
        </w:rPr>
        <w:t>（二）一站式服务平台</w:t>
      </w:r>
    </w:p>
    <w:p>
      <w:r>
        <w:rPr>
          <w:rFonts w:ascii="微软雅黑" w:hAnsi="微软雅黑" w:eastAsia="微软雅黑"/>
          <w:b w:val="0"/>
          <w:sz w:val="21"/>
        </w:rPr>
        <w:t>一站式服务平台面向货代企业提供服务。本次项目涉及一站式服务平台的航司运单暂存、货代补全申报接口建设。</w:t>
      </w:r>
    </w:p>
    <w:p>
      <w:r>
        <w:rPr>
          <w:rFonts w:ascii="微软雅黑" w:hAnsi="微软雅黑" w:eastAsia="微软雅黑"/>
          <w:b w:val="0"/>
          <w:sz w:val="21"/>
        </w:rPr>
        <w:t>（三）数据交换系统</w:t>
      </w:r>
    </w:p>
    <w:p>
      <w:r>
        <w:rPr>
          <w:rFonts w:ascii="微软雅黑" w:hAnsi="微软雅黑" w:eastAsia="微软雅黑"/>
          <w:b w:val="0"/>
          <w:sz w:val="21"/>
        </w:rPr>
        <w:t>本次项目将建设统一的航司数据对接平台，承载基础配置、数据接入、数据加工、数据分发、数据存储、安全合规等功能。</w:t>
      </w:r>
    </w:p>
    <w:p>
      <w:pPr>
        <w:pStyle w:val="Heading2"/>
      </w:pPr>
      <w:r>
        <w:t>第二部分 项目所涉系统功能概述</w:t>
      </w:r>
    </w:p>
    <w:p>
      <w:pPr>
        <w:pStyle w:val="Heading3"/>
      </w:pPr>
      <w:r>
        <w:t>1. 软件部分清单</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680"/>
            <w:shd w:val="clear" w:fill="4472C4"/>
          </w:tcPr>
          <w:p>
            <w:pPr>
              <w:jc w:val="center"/>
            </w:pPr>
            <w:r>
              <w:rPr>
                <w:b/>
                <w:color w:val="FFFFFF"/>
              </w:rPr>
              <w:t>序号</w:t>
            </w:r>
          </w:p>
        </w:tc>
        <w:tc>
          <w:tcPr>
            <w:tcW w:type="dxa" w:w="1814"/>
            <w:shd w:val="clear" w:fill="4472C4"/>
          </w:tcPr>
          <w:p>
            <w:pPr>
              <w:jc w:val="center"/>
            </w:pPr>
            <w:r>
              <w:rPr>
                <w:b/>
                <w:color w:val="FFFFFF"/>
              </w:rPr>
              <w:t>软件名称</w:t>
            </w:r>
          </w:p>
        </w:tc>
        <w:tc>
          <w:tcPr>
            <w:tcW w:type="dxa" w:w="4535"/>
            <w:shd w:val="clear" w:fill="4472C4"/>
          </w:tcPr>
          <w:p>
            <w:pPr>
              <w:jc w:val="center"/>
            </w:pPr>
            <w:r>
              <w:rPr>
                <w:b/>
                <w:color w:val="FFFFFF"/>
              </w:rPr>
              <w:t>规格型号（主要功能）</w:t>
            </w:r>
          </w:p>
        </w:tc>
        <w:tc>
          <w:tcPr>
            <w:tcW w:type="dxa" w:w="680"/>
            <w:shd w:val="clear" w:fill="4472C4"/>
          </w:tcPr>
          <w:p>
            <w:pPr>
              <w:jc w:val="center"/>
            </w:pPr>
            <w:r>
              <w:rPr>
                <w:b/>
                <w:color w:val="FFFFFF"/>
              </w:rPr>
              <w:t>单位</w:t>
            </w:r>
          </w:p>
        </w:tc>
        <w:tc>
          <w:tcPr>
            <w:tcW w:type="dxa" w:w="680"/>
            <w:shd w:val="clear" w:fill="4472C4"/>
          </w:tcPr>
          <w:p>
            <w:pPr>
              <w:jc w:val="center"/>
            </w:pPr>
            <w:r>
              <w:rPr>
                <w:b/>
                <w:color w:val="FFFFFF"/>
              </w:rPr>
              <w:t>数量</w:t>
            </w:r>
          </w:p>
        </w:tc>
        <w:tc>
          <w:tcPr>
            <w:tcW w:type="dxa" w:w="850"/>
            <w:shd w:val="clear" w:fill="4472C4"/>
          </w:tcPr>
          <w:p>
            <w:pPr>
              <w:jc w:val="center"/>
            </w:pPr>
            <w:r>
              <w:rPr>
                <w:b/>
                <w:color w:val="FFFFFF"/>
              </w:rPr>
              <w:t>备注</w:t>
            </w:r>
          </w:p>
        </w:tc>
      </w:tr>
      <w:tr>
        <w:tc>
          <w:tcPr>
            <w:tcW w:type="dxa" w:w="680"/>
          </w:tcPr>
          <w:p>
            <w:r>
              <w:t>一</w:t>
            </w:r>
          </w:p>
        </w:tc>
        <w:tc>
          <w:tcPr>
            <w:tcW w:type="dxa" w:w="1814"/>
          </w:tcPr>
          <w:p>
            <w:r>
              <w:t>应用软件</w:t>
            </w:r>
          </w:p>
        </w:tc>
        <w:tc>
          <w:tcPr>
            <w:tcW w:type="dxa" w:w="4535"/>
          </w:tcPr>
          <w:p>
            <w:r/>
          </w:p>
        </w:tc>
        <w:tc>
          <w:tcPr>
            <w:tcW w:type="dxa" w:w="680"/>
          </w:tcPr>
          <w:p>
            <w:r/>
          </w:p>
        </w:tc>
        <w:tc>
          <w:tcPr>
            <w:tcW w:type="dxa" w:w="680"/>
          </w:tcPr>
          <w:p>
            <w:r/>
          </w:p>
        </w:tc>
        <w:tc>
          <w:tcPr>
            <w:tcW w:type="dxa" w:w="850"/>
          </w:tcPr>
          <w:p>
            <w:r/>
          </w:p>
        </w:tc>
      </w:tr>
      <w:tr>
        <w:tc>
          <w:tcPr>
            <w:tcW w:type="dxa" w:w="680"/>
          </w:tcPr>
          <w:p>
            <w:r>
              <w:t>1</w:t>
            </w:r>
          </w:p>
        </w:tc>
        <w:tc>
          <w:tcPr>
            <w:tcW w:type="dxa" w:w="1814"/>
          </w:tcPr>
          <w:p>
            <w:r>
              <w:t>航司数据对接平台（新建）</w:t>
            </w:r>
          </w:p>
        </w:tc>
        <w:tc>
          <w:tcPr>
            <w:tcW w:type="dxa" w:w="4535"/>
          </w:tcPr>
          <w:p>
            <w:r>
              <w:t>1、统一报文标准管理 2、统一接入通道（MQ+HTTP） 3、数据接入 4、数据加工 5、数据分发 6、基础配置管理 7、安全合规 8、监控审计</w:t>
            </w:r>
          </w:p>
        </w:tc>
        <w:tc>
          <w:tcPr>
            <w:tcW w:type="dxa" w:w="680"/>
          </w:tcPr>
          <w:p>
            <w:r>
              <w:t>套</w:t>
            </w:r>
          </w:p>
        </w:tc>
        <w:tc>
          <w:tcPr>
            <w:tcW w:type="dxa" w:w="680"/>
          </w:tcPr>
          <w:p>
            <w:r>
              <w:t>1</w:t>
            </w:r>
          </w:p>
        </w:tc>
        <w:tc>
          <w:tcPr>
            <w:tcW w:type="dxa" w:w="850"/>
          </w:tcPr>
          <w:p>
            <w:r/>
          </w:p>
        </w:tc>
      </w:tr>
      <w:tr>
        <w:tc>
          <w:tcPr>
            <w:tcW w:type="dxa" w:w="680"/>
          </w:tcPr>
          <w:p>
            <w:r>
              <w:t>2</w:t>
            </w:r>
          </w:p>
        </w:tc>
        <w:tc>
          <w:tcPr>
            <w:tcW w:type="dxa" w:w="1814"/>
          </w:tcPr>
          <w:p>
            <w:r>
              <w:t>一站式服务平台升级</w:t>
            </w:r>
          </w:p>
        </w:tc>
        <w:tc>
          <w:tcPr>
            <w:tcW w:type="dxa" w:w="4535"/>
          </w:tcPr>
          <w:p>
            <w:r>
              <w:t>1、航司运单暂存接口（tempAddByAirline） 2、货代补全申报 3、申报状态回传 4、航司二字码管理</w:t>
            </w:r>
          </w:p>
        </w:tc>
        <w:tc>
          <w:tcPr>
            <w:tcW w:type="dxa" w:w="680"/>
          </w:tcPr>
          <w:p>
            <w:r>
              <w:t>套</w:t>
            </w:r>
          </w:p>
        </w:tc>
        <w:tc>
          <w:tcPr>
            <w:tcW w:type="dxa" w:w="680"/>
          </w:tcPr>
          <w:p>
            <w:r>
              <w:t>1</w:t>
            </w:r>
          </w:p>
        </w:tc>
        <w:tc>
          <w:tcPr>
            <w:tcW w:type="dxa" w:w="850"/>
          </w:tcPr>
          <w:p>
            <w:r/>
          </w:p>
        </w:tc>
      </w:tr>
      <w:tr>
        <w:tc>
          <w:tcPr>
            <w:tcW w:type="dxa" w:w="680"/>
          </w:tcPr>
          <w:p>
            <w:r>
              <w:t>3</w:t>
            </w:r>
          </w:p>
        </w:tc>
        <w:tc>
          <w:tcPr>
            <w:tcW w:type="dxa" w:w="1814"/>
          </w:tcPr>
          <w:p>
            <w:r>
              <w:t>双流、天府货运系统升级</w:t>
            </w:r>
          </w:p>
        </w:tc>
        <w:tc>
          <w:tcPr>
            <w:tcW w:type="dxa" w:w="4535"/>
          </w:tcPr>
          <w:p>
            <w:r>
              <w:t>1、报文服务升级（FFM/FWB/FHL/FSU全量） 2、UWS称重报文对接（顺丰） 3、复秤业务改造（扫描顺丰挂牌二维码） 4、航司二字码分发</w:t>
            </w:r>
          </w:p>
        </w:tc>
        <w:tc>
          <w:tcPr>
            <w:tcW w:type="dxa" w:w="680"/>
          </w:tcPr>
          <w:p>
            <w:r>
              <w:t>套</w:t>
            </w:r>
          </w:p>
        </w:tc>
        <w:tc>
          <w:tcPr>
            <w:tcW w:type="dxa" w:w="680"/>
          </w:tcPr>
          <w:p>
            <w:r>
              <w:t>1</w:t>
            </w:r>
          </w:p>
        </w:tc>
        <w:tc>
          <w:tcPr>
            <w:tcW w:type="dxa" w:w="850"/>
          </w:tcPr>
          <w:p>
            <w:r/>
          </w:p>
        </w:tc>
      </w:tr>
    </w:tbl>
    <w:p>
      <w:pPr>
        <w:pStyle w:val="Heading3"/>
      </w:pPr>
      <w:r>
        <w:t>2. 服务部分清单</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val="clear" w:fill="4472C4"/>
          </w:tcPr>
          <w:p>
            <w:pPr>
              <w:jc w:val="center"/>
            </w:pPr>
            <w:r>
              <w:rPr>
                <w:b/>
                <w:color w:val="FFFFFF"/>
              </w:rPr>
              <w:t>序号</w:t>
            </w:r>
          </w:p>
        </w:tc>
        <w:tc>
          <w:tcPr>
            <w:tcW w:type="dxa" w:w="1440"/>
            <w:shd w:val="clear" w:fill="4472C4"/>
          </w:tcPr>
          <w:p>
            <w:pPr>
              <w:jc w:val="center"/>
            </w:pPr>
            <w:r>
              <w:rPr>
                <w:b/>
                <w:color w:val="FFFFFF"/>
              </w:rPr>
              <w:t>服务名称</w:t>
            </w:r>
          </w:p>
        </w:tc>
        <w:tc>
          <w:tcPr>
            <w:tcW w:type="dxa" w:w="1440"/>
            <w:shd w:val="clear" w:fill="4472C4"/>
          </w:tcPr>
          <w:p>
            <w:pPr>
              <w:jc w:val="center"/>
            </w:pPr>
            <w:r>
              <w:rPr>
                <w:b/>
                <w:color w:val="FFFFFF"/>
              </w:rPr>
              <w:t>规格型号</w:t>
            </w:r>
          </w:p>
        </w:tc>
        <w:tc>
          <w:tcPr>
            <w:tcW w:type="dxa" w:w="1440"/>
            <w:shd w:val="clear" w:fill="4472C4"/>
          </w:tcPr>
          <w:p>
            <w:pPr>
              <w:jc w:val="center"/>
            </w:pPr>
            <w:r>
              <w:rPr>
                <w:b/>
                <w:color w:val="FFFFFF"/>
              </w:rPr>
              <w:t>单位</w:t>
            </w:r>
          </w:p>
        </w:tc>
        <w:tc>
          <w:tcPr>
            <w:tcW w:type="dxa" w:w="1440"/>
            <w:shd w:val="clear" w:fill="4472C4"/>
          </w:tcPr>
          <w:p>
            <w:pPr>
              <w:jc w:val="center"/>
            </w:pPr>
            <w:r>
              <w:rPr>
                <w:b/>
                <w:color w:val="FFFFFF"/>
              </w:rPr>
              <w:t>数量</w:t>
            </w:r>
          </w:p>
        </w:tc>
        <w:tc>
          <w:tcPr>
            <w:tcW w:type="dxa" w:w="1440"/>
            <w:shd w:val="clear" w:fill="4472C4"/>
          </w:tcPr>
          <w:p>
            <w:pPr>
              <w:jc w:val="center"/>
            </w:pPr>
            <w:r>
              <w:rPr>
                <w:b/>
                <w:color w:val="FFFFFF"/>
              </w:rPr>
              <w:t>备注</w:t>
            </w:r>
          </w:p>
        </w:tc>
      </w:tr>
      <w:tr>
        <w:tc>
          <w:tcPr>
            <w:tcW w:type="dxa" w:w="1440"/>
          </w:tcPr>
          <w:p>
            <w:r>
              <w:t>一</w:t>
            </w:r>
          </w:p>
        </w:tc>
        <w:tc>
          <w:tcPr>
            <w:tcW w:type="dxa" w:w="1440"/>
          </w:tcPr>
          <w:p>
            <w:r>
              <w:t>项目实施及培训</w:t>
            </w:r>
          </w:p>
        </w:tc>
        <w:tc>
          <w:tcPr>
            <w:tcW w:type="dxa" w:w="1440"/>
          </w:tcPr>
          <w:p>
            <w:r/>
          </w:p>
        </w:tc>
        <w:tc>
          <w:tcPr>
            <w:tcW w:type="dxa" w:w="1440"/>
          </w:tcPr>
          <w:p>
            <w:r/>
          </w:p>
        </w:tc>
        <w:tc>
          <w:tcPr>
            <w:tcW w:type="dxa" w:w="1440"/>
          </w:tcPr>
          <w:p>
            <w:r/>
          </w:p>
        </w:tc>
        <w:tc>
          <w:tcPr>
            <w:tcW w:type="dxa" w:w="1440"/>
          </w:tcPr>
          <w:p>
            <w:r/>
          </w:p>
        </w:tc>
      </w:tr>
      <w:tr>
        <w:tc>
          <w:tcPr>
            <w:tcW w:type="dxa" w:w="1440"/>
          </w:tcPr>
          <w:p>
            <w:r>
              <w:t>1</w:t>
            </w:r>
          </w:p>
        </w:tc>
        <w:tc>
          <w:tcPr>
            <w:tcW w:type="dxa" w:w="1440"/>
          </w:tcPr>
          <w:p>
            <w:r>
              <w:t>项目实施管理</w:t>
            </w:r>
          </w:p>
        </w:tc>
        <w:tc>
          <w:tcPr>
            <w:tcW w:type="dxa" w:w="1440"/>
          </w:tcPr>
          <w:p>
            <w:r>
              <w:t>定制</w:t>
            </w:r>
          </w:p>
        </w:tc>
        <w:tc>
          <w:tcPr>
            <w:tcW w:type="dxa" w:w="1440"/>
          </w:tcPr>
          <w:p>
            <w:r>
              <w:t>项</w:t>
            </w:r>
          </w:p>
        </w:tc>
        <w:tc>
          <w:tcPr>
            <w:tcW w:type="dxa" w:w="1440"/>
          </w:tcPr>
          <w:p>
            <w:r>
              <w:t>1</w:t>
            </w:r>
          </w:p>
        </w:tc>
        <w:tc>
          <w:tcPr>
            <w:tcW w:type="dxa" w:w="1440"/>
          </w:tcPr>
          <w:p>
            <w:r/>
          </w:p>
        </w:tc>
      </w:tr>
      <w:tr>
        <w:tc>
          <w:tcPr>
            <w:tcW w:type="dxa" w:w="1440"/>
          </w:tcPr>
          <w:p>
            <w:r>
              <w:t>2</w:t>
            </w:r>
          </w:p>
        </w:tc>
        <w:tc>
          <w:tcPr>
            <w:tcW w:type="dxa" w:w="1440"/>
          </w:tcPr>
          <w:p>
            <w:r>
              <w:t>系统集成</w:t>
            </w:r>
          </w:p>
        </w:tc>
        <w:tc>
          <w:tcPr>
            <w:tcW w:type="dxa" w:w="1440"/>
          </w:tcPr>
          <w:p>
            <w:r>
              <w:t>定制</w:t>
            </w:r>
          </w:p>
        </w:tc>
        <w:tc>
          <w:tcPr>
            <w:tcW w:type="dxa" w:w="1440"/>
          </w:tcPr>
          <w:p>
            <w:r>
              <w:t>项</w:t>
            </w:r>
          </w:p>
        </w:tc>
        <w:tc>
          <w:tcPr>
            <w:tcW w:type="dxa" w:w="1440"/>
          </w:tcPr>
          <w:p>
            <w:r>
              <w:t>1</w:t>
            </w:r>
          </w:p>
        </w:tc>
        <w:tc>
          <w:tcPr>
            <w:tcW w:type="dxa" w:w="1440"/>
          </w:tcPr>
          <w:p>
            <w:r/>
          </w:p>
        </w:tc>
      </w:tr>
      <w:tr>
        <w:tc>
          <w:tcPr>
            <w:tcW w:type="dxa" w:w="1440"/>
          </w:tcPr>
          <w:p>
            <w:r>
              <w:t>3</w:t>
            </w:r>
          </w:p>
        </w:tc>
        <w:tc>
          <w:tcPr>
            <w:tcW w:type="dxa" w:w="1440"/>
          </w:tcPr>
          <w:p>
            <w:r>
              <w:t>综合联调</w:t>
            </w:r>
          </w:p>
        </w:tc>
        <w:tc>
          <w:tcPr>
            <w:tcW w:type="dxa" w:w="1440"/>
          </w:tcPr>
          <w:p>
            <w:r>
              <w:t>定制</w:t>
            </w:r>
          </w:p>
        </w:tc>
        <w:tc>
          <w:tcPr>
            <w:tcW w:type="dxa" w:w="1440"/>
          </w:tcPr>
          <w:p>
            <w:r>
              <w:t>项</w:t>
            </w:r>
          </w:p>
        </w:tc>
        <w:tc>
          <w:tcPr>
            <w:tcW w:type="dxa" w:w="1440"/>
          </w:tcPr>
          <w:p>
            <w:r>
              <w:t>1</w:t>
            </w:r>
          </w:p>
        </w:tc>
        <w:tc>
          <w:tcPr>
            <w:tcW w:type="dxa" w:w="1440"/>
          </w:tcPr>
          <w:p>
            <w:r/>
          </w:p>
        </w:tc>
      </w:tr>
      <w:tr>
        <w:tc>
          <w:tcPr>
            <w:tcW w:type="dxa" w:w="1440"/>
          </w:tcPr>
          <w:p>
            <w:r>
              <w:t>4</w:t>
            </w:r>
          </w:p>
        </w:tc>
        <w:tc>
          <w:tcPr>
            <w:tcW w:type="dxa" w:w="1440"/>
          </w:tcPr>
          <w:p>
            <w:r>
              <w:t>试运行</w:t>
            </w:r>
          </w:p>
        </w:tc>
        <w:tc>
          <w:tcPr>
            <w:tcW w:type="dxa" w:w="1440"/>
          </w:tcPr>
          <w:p>
            <w:r>
              <w:t>3个月</w:t>
            </w:r>
          </w:p>
        </w:tc>
        <w:tc>
          <w:tcPr>
            <w:tcW w:type="dxa" w:w="1440"/>
          </w:tcPr>
          <w:p>
            <w:r>
              <w:t>项</w:t>
            </w:r>
          </w:p>
        </w:tc>
        <w:tc>
          <w:tcPr>
            <w:tcW w:type="dxa" w:w="1440"/>
          </w:tcPr>
          <w:p>
            <w:r>
              <w:t>1</w:t>
            </w:r>
          </w:p>
        </w:tc>
        <w:tc>
          <w:tcPr>
            <w:tcW w:type="dxa" w:w="1440"/>
          </w:tcPr>
          <w:p>
            <w:r/>
          </w:p>
        </w:tc>
      </w:tr>
      <w:tr>
        <w:tc>
          <w:tcPr>
            <w:tcW w:type="dxa" w:w="1440"/>
          </w:tcPr>
          <w:p>
            <w:r>
              <w:t>5</w:t>
            </w:r>
          </w:p>
        </w:tc>
        <w:tc>
          <w:tcPr>
            <w:tcW w:type="dxa" w:w="1440"/>
          </w:tcPr>
          <w:p>
            <w:r>
              <w:t>现场培训</w:t>
            </w:r>
          </w:p>
        </w:tc>
        <w:tc>
          <w:tcPr>
            <w:tcW w:type="dxa" w:w="1440"/>
          </w:tcPr>
          <w:p>
            <w:r>
              <w:t>5天</w:t>
            </w:r>
          </w:p>
        </w:tc>
        <w:tc>
          <w:tcPr>
            <w:tcW w:type="dxa" w:w="1440"/>
          </w:tcPr>
          <w:p>
            <w:r>
              <w:t>项</w:t>
            </w:r>
          </w:p>
        </w:tc>
        <w:tc>
          <w:tcPr>
            <w:tcW w:type="dxa" w:w="1440"/>
          </w:tcPr>
          <w:p>
            <w:r>
              <w:t>1</w:t>
            </w:r>
          </w:p>
        </w:tc>
        <w:tc>
          <w:tcPr>
            <w:tcW w:type="dxa" w:w="1440"/>
          </w:tcPr>
          <w:p>
            <w:r/>
          </w:p>
        </w:tc>
      </w:tr>
      <w:tr>
        <w:tc>
          <w:tcPr>
            <w:tcW w:type="dxa" w:w="1440"/>
          </w:tcPr>
          <w:p>
            <w:r>
              <w:t>二</w:t>
            </w:r>
          </w:p>
        </w:tc>
        <w:tc>
          <w:tcPr>
            <w:tcW w:type="dxa" w:w="1440"/>
          </w:tcPr>
          <w:p>
            <w:r>
              <w:t>售后服务</w:t>
            </w:r>
          </w:p>
        </w:tc>
        <w:tc>
          <w:tcPr>
            <w:tcW w:type="dxa" w:w="1440"/>
          </w:tcPr>
          <w:p>
            <w:r/>
          </w:p>
        </w:tc>
        <w:tc>
          <w:tcPr>
            <w:tcW w:type="dxa" w:w="1440"/>
          </w:tcPr>
          <w:p>
            <w:r/>
          </w:p>
        </w:tc>
        <w:tc>
          <w:tcPr>
            <w:tcW w:type="dxa" w:w="1440"/>
          </w:tcPr>
          <w:p>
            <w:r/>
          </w:p>
        </w:tc>
        <w:tc>
          <w:tcPr>
            <w:tcW w:type="dxa" w:w="1440"/>
          </w:tcPr>
          <w:p>
            <w:r/>
          </w:p>
        </w:tc>
      </w:tr>
      <w:tr>
        <w:tc>
          <w:tcPr>
            <w:tcW w:type="dxa" w:w="1440"/>
          </w:tcPr>
          <w:p>
            <w:r>
              <w:t>1</w:t>
            </w:r>
          </w:p>
        </w:tc>
        <w:tc>
          <w:tcPr>
            <w:tcW w:type="dxa" w:w="1440"/>
          </w:tcPr>
          <w:p>
            <w:r>
              <w:t>7×24小时技术支持</w:t>
            </w:r>
          </w:p>
        </w:tc>
        <w:tc>
          <w:tcPr>
            <w:tcW w:type="dxa" w:w="1440"/>
          </w:tcPr>
          <w:p>
            <w:r>
              <w:t>自验收证书签署之日起2年</w:t>
            </w:r>
          </w:p>
        </w:tc>
        <w:tc>
          <w:tcPr>
            <w:tcW w:type="dxa" w:w="1440"/>
          </w:tcPr>
          <w:p>
            <w:r>
              <w:t>项</w:t>
            </w:r>
          </w:p>
        </w:tc>
        <w:tc>
          <w:tcPr>
            <w:tcW w:type="dxa" w:w="1440"/>
          </w:tcPr>
          <w:p>
            <w:r>
              <w:t>1</w:t>
            </w:r>
          </w:p>
        </w:tc>
        <w:tc>
          <w:tcPr>
            <w:tcW w:type="dxa" w:w="1440"/>
          </w:tcPr>
          <w:p>
            <w:r/>
          </w:p>
        </w:tc>
      </w:tr>
      <w:tr>
        <w:tc>
          <w:tcPr>
            <w:tcW w:type="dxa" w:w="1440"/>
          </w:tcPr>
          <w:p>
            <w:r>
              <w:t>2</w:t>
            </w:r>
          </w:p>
        </w:tc>
        <w:tc>
          <w:tcPr>
            <w:tcW w:type="dxa" w:w="1440"/>
          </w:tcPr>
          <w:p>
            <w:r>
              <w:t>年度现场巡检，每年一次</w:t>
            </w:r>
          </w:p>
        </w:tc>
        <w:tc>
          <w:tcPr>
            <w:tcW w:type="dxa" w:w="1440"/>
          </w:tcPr>
          <w:p>
            <w:r>
              <w:t>自验收证书签署之日起2年</w:t>
            </w:r>
          </w:p>
        </w:tc>
        <w:tc>
          <w:tcPr>
            <w:tcW w:type="dxa" w:w="1440"/>
          </w:tcPr>
          <w:p>
            <w:r>
              <w:t>项</w:t>
            </w:r>
          </w:p>
        </w:tc>
        <w:tc>
          <w:tcPr>
            <w:tcW w:type="dxa" w:w="1440"/>
          </w:tcPr>
          <w:p>
            <w:r>
              <w:t>1</w:t>
            </w:r>
          </w:p>
        </w:tc>
        <w:tc>
          <w:tcPr>
            <w:tcW w:type="dxa" w:w="1440"/>
          </w:tcPr>
          <w:p>
            <w:r/>
          </w:p>
        </w:tc>
      </w:tr>
      <w:tr>
        <w:tc>
          <w:tcPr>
            <w:tcW w:type="dxa" w:w="1440"/>
          </w:tcPr>
          <w:p>
            <w:r>
              <w:t>3</w:t>
            </w:r>
          </w:p>
        </w:tc>
        <w:tc>
          <w:tcPr>
            <w:tcW w:type="dxa" w:w="1440"/>
          </w:tcPr>
          <w:p>
            <w:r>
              <w:t>重大事件保障（双方协商）</w:t>
            </w:r>
          </w:p>
        </w:tc>
        <w:tc>
          <w:tcPr>
            <w:tcW w:type="dxa" w:w="1440"/>
          </w:tcPr>
          <w:p>
            <w:r>
              <w:t>自验收证书签署之日起2年</w:t>
            </w:r>
          </w:p>
        </w:tc>
        <w:tc>
          <w:tcPr>
            <w:tcW w:type="dxa" w:w="1440"/>
          </w:tcPr>
          <w:p>
            <w:r>
              <w:t>项</w:t>
            </w:r>
          </w:p>
        </w:tc>
        <w:tc>
          <w:tcPr>
            <w:tcW w:type="dxa" w:w="1440"/>
          </w:tcPr>
          <w:p>
            <w:r>
              <w:t>1</w:t>
            </w:r>
          </w:p>
        </w:tc>
        <w:tc>
          <w:tcPr>
            <w:tcW w:type="dxa" w:w="1440"/>
          </w:tcPr>
          <w:p>
            <w:r/>
          </w:p>
        </w:tc>
      </w:tr>
      <w:tr>
        <w:tc>
          <w:tcPr>
            <w:tcW w:type="dxa" w:w="1440"/>
          </w:tcPr>
          <w:p>
            <w:r>
              <w:t>三</w:t>
            </w:r>
          </w:p>
        </w:tc>
        <w:tc>
          <w:tcPr>
            <w:tcW w:type="dxa" w:w="1440"/>
          </w:tcPr>
          <w:p>
            <w:r>
              <w:t>质保期</w:t>
            </w:r>
          </w:p>
        </w:tc>
        <w:tc>
          <w:tcPr>
            <w:tcW w:type="dxa" w:w="1440"/>
          </w:tcPr>
          <w:p>
            <w:r>
              <w:t>自验收证书签署之日起2年</w:t>
            </w:r>
          </w:p>
        </w:tc>
        <w:tc>
          <w:tcPr>
            <w:tcW w:type="dxa" w:w="1440"/>
          </w:tcPr>
          <w:p>
            <w:r>
              <w:t>项</w:t>
            </w:r>
          </w:p>
        </w:tc>
        <w:tc>
          <w:tcPr>
            <w:tcW w:type="dxa" w:w="1440"/>
          </w:tcPr>
          <w:p>
            <w:r>
              <w:t>1</w:t>
            </w:r>
          </w:p>
        </w:tc>
        <w:tc>
          <w:tcPr>
            <w:tcW w:type="dxa" w:w="1440"/>
          </w:tcPr>
          <w:p>
            <w:r/>
          </w:p>
        </w:tc>
      </w:tr>
    </w:tbl>
    <w:p>
      <w:pPr>
        <w:pStyle w:val="Heading3"/>
      </w:pPr>
      <w:r>
        <w:t>3. 清单要求</w:t>
      </w:r>
    </w:p>
    <w:p>
      <w:r>
        <w:rPr>
          <w:rFonts w:ascii="微软雅黑" w:hAnsi="微软雅黑" w:eastAsia="微软雅黑"/>
          <w:b w:val="0"/>
          <w:sz w:val="21"/>
        </w:rPr>
        <w:t>（一）主要软件、服务清单仅指本次询比的主要供货范围，是本项目的必要组成部分，并非详细完整配置。供应商须根据自己的方案列出清单内软件、服务的名称、原厂商、供应商、品牌、产地、型号、版本的详细内容，并包含在响应报价中。</w:t>
      </w:r>
    </w:p>
    <w:p>
      <w:r>
        <w:rPr>
          <w:rFonts w:ascii="微软雅黑" w:hAnsi="微软雅黑" w:eastAsia="微软雅黑"/>
          <w:b w:val="0"/>
          <w:sz w:val="21"/>
        </w:rPr>
        <w:t>（二）本技术规格书仅指本项目的主要要求，不应作为完整的详细的要求，供应商需根据询比文件的技术要求等，提供完整的详细的解决方案，并计入响应总价。如满足本技术规格书所要求的系统功能和性能所需的软件、附件、工具和服务等未列入响应总价，视为已包含在相应价格中，供应商须在不变更响应总价的前提下无条件补足。</w:t>
      </w:r>
    </w:p>
    <w:p>
      <w:r>
        <w:rPr>
          <w:rFonts w:ascii="微软雅黑" w:hAnsi="微软雅黑" w:eastAsia="微软雅黑"/>
          <w:b w:val="0"/>
          <w:sz w:val="21"/>
        </w:rPr>
        <w:t>（三）本项目为纯软件升级及新建项目，不涉及新购硬件设备。项目运行所需的服务器、网络等基础设施复用现有资源，供应商应在方案中说明对现有基础设施的资源需求。</w:t>
      </w:r>
    </w:p>
    <w:p>
      <w:r>
        <w:rPr>
          <w:rFonts w:ascii="微软雅黑" w:hAnsi="微软雅黑" w:eastAsia="微软雅黑"/>
          <w:b w:val="0"/>
          <w:sz w:val="21"/>
        </w:rPr>
        <w:t>（四）供应商需对本项目系统各功能正常运行所需要对接的现有业务系统数据纳入接口相关清单项中，并在综合报价中统一考虑。进场后不得以设计方案细化为由增加工程量变更。</w:t>
      </w:r>
    </w:p>
    <w:p>
      <w:pPr>
        <w:pStyle w:val="Heading3"/>
      </w:pPr>
      <w:r>
        <w:t>4. 技术要求</w:t>
      </w:r>
    </w:p>
    <w:p>
      <w:pPr>
        <w:pStyle w:val="Heading4"/>
      </w:pPr>
      <w:r>
        <w:t>4.1 整体技术架构</w:t>
      </w:r>
    </w:p>
    <w:p>
      <w:r>
        <w:rPr>
          <w:rFonts w:ascii="微软雅黑" w:hAnsi="微软雅黑" w:eastAsia="微软雅黑"/>
          <w:b w:val="0"/>
          <w:sz w:val="21"/>
        </w:rPr>
        <w:t>本次项目以"统一标准、平台承载、配置接入"为原则，在遵守各系统已有技术架构前提下，符合机场集团相关管理要求和资源规划要求进行规划和设计。</w:t>
      </w:r>
    </w:p>
    <w:p>
      <w:pPr>
        <w:pStyle w:val="Heading4"/>
      </w:pPr>
      <w:r>
        <w:t>4.2 系统功能要求</w:t>
      </w:r>
    </w:p>
    <w:p>
      <w:pPr>
        <w:pStyle w:val="Heading4"/>
      </w:pPr>
      <w:r>
        <w:t>4.2.1 航司数据对接平台（参数）</w:t>
      </w:r>
    </w:p>
    <w:p>
      <w:r>
        <w:rPr>
          <w:rFonts w:ascii="微软雅黑" w:hAnsi="微软雅黑" w:eastAsia="微软雅黑"/>
          <w:b/>
          <w:sz w:val="21"/>
        </w:rPr>
        <w:t>统一报文标准管理要求</w:t>
      </w:r>
    </w:p>
    <w:p>
      <w:r>
        <w:rPr>
          <w:rFonts w:ascii="微软雅黑" w:hAnsi="微软雅黑" w:eastAsia="微软雅黑"/>
          <w:b w:val="0"/>
          <w:sz w:val="21"/>
        </w:rPr>
        <w:t>满足航司对接时报文标准统一的场景：航司之间对接使用的货邮舱单（FFM）、主运单（FWB）、分运单（FHL）、货物状态（FSU系列）等报文，统一采用民航行业通用标准格式，避免各航司格式不一致导致反复开发；支持按航司设置需要接收和发送的报文范围（如仅国际、仅出港等），配置灵活。</w:t>
      </w:r>
    </w:p>
    <w:p>
      <w:r>
        <w:rPr>
          <w:rFonts w:ascii="微软雅黑" w:hAnsi="微软雅黑" w:eastAsia="微软雅黑"/>
          <w:b/>
          <w:sz w:val="21"/>
        </w:rPr>
        <w:t>统一接入通道要求</w:t>
      </w:r>
    </w:p>
    <w:p>
      <w:r>
        <w:rPr>
          <w:rFonts w:ascii="微软雅黑" w:hAnsi="微软雅黑" w:eastAsia="微软雅黑"/>
          <w:b w:val="0"/>
          <w:sz w:val="21"/>
        </w:rPr>
        <w:t>支持两类接入方式，供航司选择使用：</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val="clear" w:fill="4472C4"/>
          </w:tcPr>
          <w:p>
            <w:pPr>
              <w:jc w:val="center"/>
            </w:pPr>
            <w:r>
              <w:rPr>
                <w:b/>
                <w:color w:val="FFFFFF"/>
              </w:rPr>
              <w:t>接入方式</w:t>
            </w:r>
          </w:p>
        </w:tc>
        <w:tc>
          <w:tcPr>
            <w:tcW w:type="dxa" w:w="2880"/>
            <w:shd w:val="clear" w:fill="4472C4"/>
          </w:tcPr>
          <w:p>
            <w:pPr>
              <w:jc w:val="center"/>
            </w:pPr>
            <w:r>
              <w:rPr>
                <w:b/>
                <w:color w:val="FFFFFF"/>
              </w:rPr>
              <w:t>适用场景</w:t>
            </w:r>
          </w:p>
        </w:tc>
        <w:tc>
          <w:tcPr>
            <w:tcW w:type="dxa" w:w="2880"/>
            <w:shd w:val="clear" w:fill="4472C4"/>
          </w:tcPr>
          <w:p>
            <w:pPr>
              <w:jc w:val="center"/>
            </w:pPr>
            <w:r>
              <w:rPr>
                <w:b/>
                <w:color w:val="FFFFFF"/>
              </w:rPr>
              <w:t>安全保障</w:t>
            </w:r>
          </w:p>
        </w:tc>
      </w:tr>
      <w:tr>
        <w:tc>
          <w:tcPr>
            <w:tcW w:type="dxa" w:w="2880"/>
          </w:tcPr>
          <w:p>
            <w:r>
              <w:t>报文通道</w:t>
            </w:r>
          </w:p>
        </w:tc>
        <w:tc>
          <w:tcPr>
            <w:tcW w:type="dxa" w:w="2880"/>
          </w:tcPr>
          <w:p>
            <w:r>
              <w:t>货邮舱单、货物状态等报文的传输</w:t>
            </w:r>
          </w:p>
        </w:tc>
        <w:tc>
          <w:tcPr>
            <w:tcW w:type="dxa" w:w="2880"/>
          </w:tcPr>
          <w:p>
            <w:r>
              <w:t>传输全程加密，密钥由航司提供</w:t>
            </w:r>
          </w:p>
        </w:tc>
      </w:tr>
      <w:tr>
        <w:tc>
          <w:tcPr>
            <w:tcW w:type="dxa" w:w="2880"/>
          </w:tcPr>
          <w:p>
            <w:r>
              <w:t>接口通道</w:t>
            </w:r>
          </w:p>
        </w:tc>
        <w:tc>
          <w:tcPr>
            <w:tcW w:type="dxa" w:w="2880"/>
          </w:tcPr>
          <w:p>
            <w:r>
              <w:t>运单信息、订舱信息、状态回传等实时交互</w:t>
            </w:r>
          </w:p>
        </w:tc>
        <w:tc>
          <w:tcPr>
            <w:tcW w:type="dxa" w:w="2880"/>
          </w:tcPr>
          <w:p>
            <w:r>
              <w:t>接入需身份认证，传输全程加密</w:t>
            </w:r>
          </w:p>
        </w:tc>
      </w:tr>
    </w:tbl>
    <w:p>
      <w:r>
        <w:rPr>
          <w:rFonts w:ascii="微软雅黑" w:hAnsi="微软雅黑" w:eastAsia="微软雅黑"/>
          <w:b/>
          <w:sz w:val="21"/>
        </w:rPr>
        <w:t>数据接入要求</w:t>
      </w:r>
    </w:p>
    <w:p>
      <w:r>
        <w:rPr>
          <w:rFonts w:ascii="微软雅黑" w:hAnsi="微软雅黑" w:eastAsia="微软雅黑"/>
          <w:b w:val="0"/>
          <w:sz w:val="21"/>
        </w:rPr>
        <w:t>满足将航司发送的数据接收进入平台的场景：支持报文和接口两种方式接收数据；接收后自动校验数据是否完整、格式是否正确，校验不通过的记录异常并提醒处理。</w:t>
      </w:r>
    </w:p>
    <w:p>
      <w:r>
        <w:rPr>
          <w:rFonts w:ascii="微软雅黑" w:hAnsi="微软雅黑" w:eastAsia="微软雅黑"/>
          <w:b/>
          <w:sz w:val="21"/>
        </w:rPr>
        <w:t>数据加工要求</w:t>
      </w:r>
    </w:p>
    <w:p>
      <w:r>
        <w:rPr>
          <w:rFonts w:ascii="微软雅黑" w:hAnsi="微软雅黑" w:eastAsia="微软雅黑"/>
          <w:b w:val="0"/>
          <w:sz w:val="21"/>
        </w:rPr>
        <w:t>满足对接入数据进行整理加工的场景：支持对数据进行格式转换、字段补全等处理，使数据符合各航司的接收要求；加工规则可调整，调整不影响已对接航司的正常运行。</w:t>
      </w:r>
    </w:p>
    <w:p>
      <w:r>
        <w:rPr>
          <w:rFonts w:ascii="微软雅黑" w:hAnsi="微软雅黑" w:eastAsia="微软雅黑"/>
          <w:b/>
          <w:sz w:val="21"/>
        </w:rPr>
        <w:t>数据分发要求</w:t>
      </w:r>
    </w:p>
    <w:p>
      <w:r>
        <w:rPr>
          <w:rFonts w:ascii="微软雅黑" w:hAnsi="微软雅黑" w:eastAsia="微软雅黑"/>
          <w:b w:val="0"/>
          <w:sz w:val="21"/>
        </w:rPr>
        <w:t>满足将处理后的数据按约定发送给对应航司的场景：支持按航司、按报文类型等维度设置发送范围；发送失败自动重试；发送记录留存备查。</w:t>
      </w:r>
    </w:p>
    <w:p>
      <w:r>
        <w:rPr>
          <w:rFonts w:ascii="微软雅黑" w:hAnsi="微软雅黑" w:eastAsia="微软雅黑"/>
          <w:b/>
          <w:sz w:val="21"/>
        </w:rPr>
        <w:t>基础配置管理要求</w:t>
      </w:r>
    </w:p>
    <w:p>
      <w:r>
        <w:rPr>
          <w:rFonts w:ascii="微软雅黑" w:hAnsi="微软雅黑" w:eastAsia="微软雅黑"/>
          <w:b w:val="0"/>
          <w:sz w:val="21"/>
        </w:rPr>
        <w:t>满足平台基础信息配置管理的场景：支持对航司信息、接收范围、发送范围等进行配置管理；各航司的配置相互独立，互不影响。</w:t>
      </w:r>
    </w:p>
    <w:p>
      <w:r>
        <w:rPr>
          <w:rFonts w:ascii="微软雅黑" w:hAnsi="微软雅黑" w:eastAsia="微软雅黑"/>
          <w:b/>
          <w:sz w:val="21"/>
        </w:rPr>
        <w:t>安全合规模块要求</w:t>
      </w:r>
    </w:p>
    <w:p>
      <w:r>
        <w:rPr>
          <w:rFonts w:ascii="微软雅黑" w:hAnsi="微软雅黑" w:eastAsia="微软雅黑"/>
          <w:b w:val="0"/>
          <w:sz w:val="21"/>
        </w:rPr>
        <w:t>满足数据安全保障场景：提供账号管理、权限控制和操作留痕，不同角色（管理员、运维、航司）权限分明；数据传输全程加密，密钥由航司提供并独立保管。</w:t>
      </w:r>
    </w:p>
    <w:p>
      <w:r>
        <w:rPr>
          <w:rFonts w:ascii="微软雅黑" w:hAnsi="微软雅黑" w:eastAsia="微软雅黑"/>
          <w:b/>
          <w:sz w:val="21"/>
        </w:rPr>
        <w:t>新航司快速接入要求</w:t>
      </w:r>
    </w:p>
    <w:p>
      <w:r>
        <w:rPr>
          <w:rFonts w:ascii="微软雅黑" w:hAnsi="微软雅黑" w:eastAsia="微软雅黑"/>
          <w:b w:val="0"/>
          <w:sz w:val="21"/>
        </w:rPr>
        <w:t>满足新航司快速对接的场景：新航司接入时，只需在平台登记航司信息、选择需要的报文类型并开通网络，即可完成对接，无需重新开发；平台提供接入自检功能，配置完成后自动检查对接是否正常，便于快速上线。</w:t>
      </w:r>
    </w:p>
    <w:p>
      <w:pPr>
        <w:pStyle w:val="Heading4"/>
      </w:pPr>
      <w:r>
        <w:t>4.2.2 一站式服务平台升级（参数）</w:t>
      </w:r>
    </w:p>
    <w:p>
      <w:r>
        <w:rPr>
          <w:rFonts w:ascii="微软雅黑" w:hAnsi="微软雅黑" w:eastAsia="微软雅黑"/>
          <w:b/>
          <w:sz w:val="21"/>
        </w:rPr>
        <w:t>航司运单暂存要求</w:t>
      </w:r>
    </w:p>
    <w:p>
      <w:r>
        <w:rPr>
          <w:rFonts w:ascii="微软雅黑" w:hAnsi="微软雅黑" w:eastAsia="微软雅黑"/>
          <w:b w:val="0"/>
          <w:sz w:val="21"/>
        </w:rPr>
        <w:t>满足航司将订舱运单信息推送给机场的场景：航司将出港运单信息推送至一站式服务平台，平台接收后暂存该运单；运单号必填并校验有效性，货代名称用于后续将运单与货代绑定；数据接入需认证，传输加密。</w:t>
      </w:r>
    </w:p>
    <w:p>
      <w:r>
        <w:rPr>
          <w:rFonts w:ascii="微软雅黑" w:hAnsi="微软雅黑" w:eastAsia="微软雅黑"/>
          <w:b/>
          <w:sz w:val="21"/>
        </w:rPr>
        <w:t>货代补全申报要求</w:t>
      </w:r>
    </w:p>
    <w:p>
      <w:r>
        <w:rPr>
          <w:rFonts w:ascii="微软雅黑" w:hAnsi="微软雅黑" w:eastAsia="微软雅黑"/>
          <w:b w:val="0"/>
          <w:sz w:val="21"/>
        </w:rPr>
        <w:t>满足货代完善运单信息并提交的场景：货代登录一站式服务平台，对航司推送的暂存运单补充收发货人、鉴定报告等信息后提交；信息同步至货运系统，货物后续操作状态可回传给航司。</w:t>
      </w:r>
    </w:p>
    <w:p>
      <w:r>
        <w:rPr>
          <w:rFonts w:ascii="微软雅黑" w:hAnsi="微软雅黑" w:eastAsia="微软雅黑"/>
          <w:b/>
          <w:sz w:val="21"/>
        </w:rPr>
        <w:t>申报状态回传要求</w:t>
      </w:r>
    </w:p>
    <w:p>
      <w:r>
        <w:rPr>
          <w:rFonts w:ascii="微软雅黑" w:hAnsi="微软雅黑" w:eastAsia="微软雅黑"/>
          <w:b w:val="0"/>
          <w:sz w:val="21"/>
        </w:rPr>
        <w:t>满足将运单申报状态告知航司的场景：货代完成申报后，平台将申报结果（运单号、状态等）回传给航司；回传失败自动重试并记录。</w:t>
      </w:r>
    </w:p>
    <w:p>
      <w:pPr>
        <w:pStyle w:val="Heading4"/>
      </w:pPr>
      <w:r>
        <w:t>4.2.3 双流、天府货运系统升级（参数）</w:t>
      </w:r>
    </w:p>
    <w:p>
      <w:r>
        <w:rPr>
          <w:rFonts w:ascii="微软雅黑" w:hAnsi="微软雅黑" w:eastAsia="微软雅黑"/>
          <w:b/>
          <w:sz w:val="21"/>
        </w:rPr>
        <w:t>报文服务升级要求</w:t>
      </w:r>
    </w:p>
    <w:p>
      <w:r>
        <w:rPr>
          <w:rFonts w:ascii="微软雅黑" w:hAnsi="微软雅黑" w:eastAsia="微软雅黑"/>
          <w:b w:val="0"/>
          <w:sz w:val="21"/>
        </w:rPr>
        <w:t>满足向航司发送货物状态报文的场景：出港环节发送收运完成、交单、离港等状态，进港环节发送货物到达、到货通知、货物提取等状态，让航司实时掌握货物在机场的作业进度；报文按航司区分发送，发送时机遵循行业标准（如收运完成时、航班起飞11分钟后等）。</w:t>
      </w:r>
    </w:p>
    <w:p>
      <w:r>
        <w:rPr>
          <w:rFonts w:ascii="微软雅黑" w:hAnsi="微软雅黑" w:eastAsia="微软雅黑"/>
          <w:b/>
          <w:sz w:val="21"/>
        </w:rPr>
        <w:t>称重数据对接要求（顺丰）</w:t>
      </w:r>
    </w:p>
    <w:p>
      <w:r>
        <w:rPr>
          <w:rFonts w:ascii="微软雅黑" w:hAnsi="微软雅黑" w:eastAsia="微软雅黑"/>
          <w:b w:val="0"/>
          <w:sz w:val="21"/>
        </w:rPr>
        <w:t>满足顺丰航空称重数据对接的场景：货运系统支持将货物称重数据发送给顺丰；复秤环节进行业务改造：作业人员扫描顺丰挂载的二维码生成复秤任务，录入实际称重数据后自动向顺丰发送称重信息。</w:t>
      </w:r>
    </w:p>
    <w:p>
      <w:r>
        <w:rPr>
          <w:rFonts w:ascii="微软雅黑" w:hAnsi="微软雅黑" w:eastAsia="微软雅黑"/>
          <w:b/>
          <w:sz w:val="21"/>
        </w:rPr>
        <w:t>称重数据接口标准统一要求</w:t>
      </w:r>
    </w:p>
    <w:p>
      <w:r>
        <w:rPr>
          <w:rFonts w:ascii="微软雅黑" w:hAnsi="微软雅黑" w:eastAsia="微软雅黑"/>
          <w:b w:val="0"/>
          <w:sz w:val="21"/>
        </w:rPr>
        <w:t>称重数据对接须形成统一标准（数据格式、触发规则、字段定义），其他航司后续如需称重数据对接，参照相同标准即可，无需单独开发。</w:t>
      </w:r>
    </w:p>
    <w:p>
      <w:r>
        <w:rPr>
          <w:rFonts w:ascii="微软雅黑" w:hAnsi="微软雅黑" w:eastAsia="微软雅黑"/>
          <w:b/>
          <w:sz w:val="21"/>
        </w:rPr>
        <w:t>货物组装信息与复秤数据要求</w:t>
      </w:r>
    </w:p>
    <w:p>
      <w:r>
        <w:rPr>
          <w:rFonts w:ascii="微软雅黑" w:hAnsi="微软雅黑" w:eastAsia="微软雅黑"/>
          <w:b w:val="0"/>
          <w:sz w:val="21"/>
        </w:rPr>
        <w:t>满足向航司发送货物组装信息和复秤数据的场景：包含运单号、总件数、总重量、分板件数、分板重量、复秤重量、特殊货物代码等信息；普通货机数据由货运系统自动汇总提供；全货机因货站不进行组板，相关数据另行协商。</w:t>
      </w:r>
    </w:p>
    <w:p>
      <w:r>
        <w:rPr>
          <w:rFonts w:ascii="微软雅黑" w:hAnsi="微软雅黑" w:eastAsia="微软雅黑"/>
          <w:b/>
          <w:sz w:val="21"/>
        </w:rPr>
        <w:t>中转数据对接要求</w:t>
      </w:r>
    </w:p>
    <w:p>
      <w:r>
        <w:rPr>
          <w:rFonts w:ascii="微软雅黑" w:hAnsi="微软雅黑" w:eastAsia="微软雅黑"/>
          <w:b w:val="0"/>
          <w:sz w:val="21"/>
        </w:rPr>
        <w:t>满足跨货站中转货物数据对接的场景：中转货物转出时，向航司发送转运信息和运单信息；中转货物转入时，接收航司推送的运单信息和集装器信息；支持一单到底（航司直接推送运单信息至二程货站）和换单中转（货代在一站式服务平台操作）两种模式。</w:t>
      </w:r>
    </w:p>
    <w:p>
      <w:pPr>
        <w:pStyle w:val="Heading4"/>
      </w:pPr>
      <w:r>
        <w:t>4.2.4 航司对接实施范围（参数）</w:t>
      </w:r>
    </w:p>
    <w:p>
      <w:r>
        <w:rPr>
          <w:rFonts w:ascii="微软雅黑" w:hAnsi="微软雅黑" w:eastAsia="微软雅黑"/>
          <w:b w:val="0"/>
          <w:sz w:val="21"/>
        </w:rPr>
        <w:t>本次项目须完成以下三家航司的对接实施：</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val="clear" w:fill="4472C4"/>
          </w:tcPr>
          <w:p>
            <w:pPr>
              <w:jc w:val="center"/>
            </w:pPr>
            <w:r>
              <w:rPr>
                <w:b/>
                <w:color w:val="FFFFFF"/>
              </w:rPr>
              <w:t>航司</w:t>
            </w:r>
          </w:p>
        </w:tc>
        <w:tc>
          <w:tcPr>
            <w:tcW w:type="dxa" w:w="2160"/>
            <w:shd w:val="clear" w:fill="4472C4"/>
          </w:tcPr>
          <w:p>
            <w:pPr>
              <w:jc w:val="center"/>
            </w:pPr>
            <w:r>
              <w:rPr>
                <w:b/>
                <w:color w:val="FFFFFF"/>
              </w:rPr>
              <w:t>报文内容</w:t>
            </w:r>
          </w:p>
        </w:tc>
        <w:tc>
          <w:tcPr>
            <w:tcW w:type="dxa" w:w="2160"/>
            <w:shd w:val="clear" w:fill="4472C4"/>
          </w:tcPr>
          <w:p>
            <w:pPr>
              <w:jc w:val="center"/>
            </w:pPr>
            <w:r>
              <w:rPr>
                <w:b/>
                <w:color w:val="FFFFFF"/>
              </w:rPr>
              <w:t>信息交互内容</w:t>
            </w:r>
          </w:p>
        </w:tc>
        <w:tc>
          <w:tcPr>
            <w:tcW w:type="dxa" w:w="2160"/>
            <w:shd w:val="clear" w:fill="4472C4"/>
          </w:tcPr>
          <w:p>
            <w:pPr>
              <w:jc w:val="center"/>
            </w:pPr>
            <w:r>
              <w:rPr>
                <w:b/>
                <w:color w:val="FFFFFF"/>
              </w:rPr>
              <w:t>特殊要求</w:t>
            </w:r>
          </w:p>
        </w:tc>
      </w:tr>
      <w:tr>
        <w:tc>
          <w:tcPr>
            <w:tcW w:type="dxa" w:w="2160"/>
          </w:tcPr>
          <w:p>
            <w:r>
              <w:t>四川航空（3U）</w:t>
            </w:r>
          </w:p>
        </w:tc>
        <w:tc>
          <w:tcPr>
            <w:tcW w:type="dxa" w:w="2160"/>
          </w:tcPr>
          <w:p>
            <w:r>
              <w:t>货邮舱单、主运单、分运单、货物状态系列</w:t>
            </w:r>
          </w:p>
        </w:tc>
        <w:tc>
          <w:tcPr>
            <w:tcW w:type="dxa" w:w="2160"/>
          </w:tcPr>
          <w:p>
            <w:r>
              <w:t>出港运单、订舱信息、中转数据</w:t>
            </w:r>
          </w:p>
        </w:tc>
        <w:tc>
          <w:tcPr>
            <w:tcW w:type="dxa" w:w="2160"/>
          </w:tcPr>
          <w:p>
            <w:r>
              <w:t>中转对接（一单到底/换单）；全货机数据另行协商</w:t>
            </w:r>
          </w:p>
        </w:tc>
      </w:tr>
      <w:tr>
        <w:tc>
          <w:tcPr>
            <w:tcW w:type="dxa" w:w="2160"/>
          </w:tcPr>
          <w:p>
            <w:r>
              <w:t>四川货航</w:t>
            </w:r>
          </w:p>
        </w:tc>
        <w:tc>
          <w:tcPr>
            <w:tcW w:type="dxa" w:w="2160"/>
          </w:tcPr>
          <w:p>
            <w:r>
              <w:t>货邮舱单、主运单、分运单、货物状态系列</w:t>
            </w:r>
          </w:p>
        </w:tc>
        <w:tc>
          <w:tcPr>
            <w:tcW w:type="dxa" w:w="2160"/>
          </w:tcPr>
          <w:p>
            <w:r>
              <w:t>出港运单、订舱信息</w:t>
            </w:r>
          </w:p>
        </w:tc>
        <w:tc>
          <w:tcPr>
            <w:tcW w:type="dxa" w:w="2160"/>
          </w:tcPr>
          <w:p>
            <w:r>
              <w:t>—</w:t>
            </w:r>
          </w:p>
        </w:tc>
      </w:tr>
      <w:tr>
        <w:tc>
          <w:tcPr>
            <w:tcW w:type="dxa" w:w="2160"/>
          </w:tcPr>
          <w:p>
            <w:r>
              <w:t>顺丰航空</w:t>
            </w:r>
          </w:p>
        </w:tc>
        <w:tc>
          <w:tcPr>
            <w:tcW w:type="dxa" w:w="2160"/>
          </w:tcPr>
          <w:p>
            <w:r>
              <w:t>货邮舱单、货物状态系列 + 称重数据</w:t>
            </w:r>
          </w:p>
        </w:tc>
        <w:tc>
          <w:tcPr>
            <w:tcW w:type="dxa" w:w="2160"/>
          </w:tcPr>
          <w:p>
            <w:r>
              <w:t>出港运单、订舱信息</w:t>
            </w:r>
          </w:p>
        </w:tc>
        <w:tc>
          <w:tcPr>
            <w:tcW w:type="dxa" w:w="2160"/>
          </w:tcPr>
          <w:p>
            <w:r>
              <w:t>复秤业务改造（扫描顺丰挂牌二维码）；称重数据接口标准化</w:t>
            </w:r>
          </w:p>
        </w:tc>
      </w:tr>
    </w:tbl>
    <w:p>
      <w:pPr>
        <w:pStyle w:val="Heading4"/>
      </w:pPr>
      <w:r>
        <w:t>4.3 数据留存与安全要求</w:t>
      </w:r>
    </w:p>
    <w:p>
      <w:r>
        <w:rPr>
          <w:rFonts w:ascii="微软雅黑" w:hAnsi="微软雅黑" w:eastAsia="微软雅黑"/>
          <w:b w:val="0"/>
          <w:sz w:val="21"/>
        </w:rPr>
        <w:t>（一）航司对接产生的所有报文数据、接口调用记录、加工分发记录，需留存不少于3年。</w:t>
      </w:r>
    </w:p>
    <w:p>
      <w:r>
        <w:rPr>
          <w:rFonts w:ascii="微软雅黑" w:hAnsi="微软雅黑" w:eastAsia="微软雅黑"/>
          <w:b w:val="0"/>
          <w:sz w:val="21"/>
        </w:rPr>
        <w:t>（二）系统中所有已确认（加锁）的报表不得修改，操作日志永久保留。</w:t>
      </w:r>
    </w:p>
    <w:p>
      <w:r>
        <w:rPr>
          <w:rFonts w:ascii="微软雅黑" w:hAnsi="微软雅黑" w:eastAsia="微软雅黑"/>
          <w:b w:val="0"/>
          <w:sz w:val="21"/>
        </w:rPr>
        <w:t>（三）报文传输全程加密，密钥由航司提供，支持按航司独立管理。</w:t>
      </w:r>
    </w:p>
    <w:p>
      <w:r>
        <w:rPr>
          <w:rFonts w:ascii="微软雅黑" w:hAnsi="微软雅黑" w:eastAsia="微软雅黑"/>
          <w:b w:val="0"/>
          <w:sz w:val="21"/>
        </w:rPr>
        <w:t>（四）平台须实现完整的权限控制：平台管理员负责租户、配置、密钥管理；运维人员负责监控审计；航司仅可访问本航司配置与数据。</w:t>
      </w:r>
    </w:p>
    <w:p>
      <w:r>
        <w:rPr>
          <w:rFonts w:ascii="微软雅黑" w:hAnsi="微软雅黑" w:eastAsia="微软雅黑"/>
          <w:b w:val="0"/>
          <w:sz w:val="21"/>
        </w:rPr>
        <w:t>（五）采用国产化数据库存储平台数据。</w:t>
      </w:r>
    </w:p>
    <w:p>
      <w:pPr>
        <w:pStyle w:val="Heading3"/>
      </w:pPr>
      <w:r>
        <w:t>5. 实施要求</w:t>
      </w:r>
    </w:p>
    <w:p>
      <w:r>
        <w:rPr>
          <w:rFonts w:ascii="微软雅黑" w:hAnsi="微软雅黑" w:eastAsia="微软雅黑"/>
          <w:b w:val="0"/>
          <w:sz w:val="21"/>
        </w:rPr>
        <w:t>（一）工期：供应商应在收到成交通知书后45日历日内完成系统开发、部署及调试。部署及调试完成后，系统进入为期3个月的试运行。在试运行结束后，进行验收。在验收通过后，本项目投产，采购人颁发《最终验收证明》，之后进入为期2年的系统缺陷责任期。</w:t>
      </w:r>
    </w:p>
    <w:p>
      <w:r>
        <w:rPr>
          <w:rFonts w:ascii="微软雅黑" w:hAnsi="微软雅黑" w:eastAsia="微软雅黑"/>
          <w:b w:val="0"/>
          <w:sz w:val="21"/>
        </w:rPr>
        <w:t>（二）服务地点：成都双流国际机场、成都天府国际机场。</w:t>
      </w:r>
    </w:p>
    <w:p>
      <w:r>
        <w:rPr>
          <w:rFonts w:ascii="微软雅黑" w:hAnsi="微软雅黑" w:eastAsia="微软雅黑"/>
          <w:b w:val="0"/>
          <w:sz w:val="21"/>
        </w:rPr>
        <w:t>（三）供应商须在响应文件中提供项目实施计划，明确各阶段工作内容、里程碑与人员安排。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微软雅黑" w:hAnsi="微软雅黑" w:eastAsia="微软雅黑"/>
      <w:b/>
      <w:bCs/>
      <w:color w:val="1F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微软雅黑" w:hAnsi="微软雅黑" w:eastAsia="微软雅黑"/>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微软雅黑" w:hAnsi="微软雅黑" w:eastAsia="微软雅黑"/>
      <w:b/>
      <w:bCs/>
      <w:color w:val="1F3A5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微软雅黑" w:hAnsi="微软雅黑" w:eastAsia="微软雅黑"/>
      <w:b/>
      <w:bCs/>
      <w:i/>
      <w:iCs/>
      <w:color w:val="1F3A5F"/>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