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>
      <w:r>
        <w:rPr>
          <w:rFonts w:ascii="宋体" w:hAnsi="宋体" w:eastAsia="宋体"/>
          <w:sz w:val="36"/>
        </w:rPr>
        <w:t>成都双流国际机场、天府国际机场货运信息系统</w:t>
      </w:r>
    </w:p>
    <w:p>
      <w:r>
        <w:rPr>
          <w:rFonts w:ascii="宋体" w:hAnsi="宋体" w:eastAsia="宋体"/>
          <w:sz w:val="32"/>
        </w:rPr>
        <w:t>空侧内转及多点交运数据闭环优化项目</w:t>
      </w:r>
    </w:p>
    <w:p>
      <w:r>
        <w:rPr>
          <w:rFonts w:ascii="宋体" w:hAnsi="宋体" w:eastAsia="宋体"/>
          <w:sz w:val="32"/>
        </w:rPr>
        <w:t>技术（服务）需求文件</w:t>
      </w:r>
    </w:p>
    <w:p/>
    <w:p/>
    <w:p>
      <w:pPr>
        <w:pStyle w:val="Heading2"/>
      </w:pPr>
      <w:r>
        <w:rPr>
          <w:rFonts w:ascii="宋体" w:hAnsi="宋体" w:eastAsia="宋体"/>
          <w:sz w:val="26"/>
        </w:rPr>
        <w:t>项目基本情况</w:t>
      </w:r>
    </w:p>
    <w:tbl>
      <w:tblPr>
        <w:tblStyle w:val="TableGrid"/>
        <w:tblW w:type="auto" w:w="0"/>
        <w:tblLook w:firstColumn="1" w:firstRow="1" w:lastColumn="0" w:lastRow="0" w:noHBand="0" w:noVBand="1" w:val="04A0"/>
        <w:tblW w:w="3470040000" w:type="dxa"/>
        <w:tblLayout w:type="fixed"/>
      </w:tblPr>
      <w:tblGrid>
        <w:gridCol w:w="714420000"/>
        <w:gridCol w:w="2755620000"/>
      </w:tblGrid>
      <w:tr>
        <w:tc>
          <w:tcPr>
            <w:tcW w:type="dxa" w:w="-1431"/>
            <w:tcW w:w="714420000" w:type="dxa"/>
          </w:tcPr>
          <w:p>
            <w:r>
              <w:rPr>
                <w:rFonts w:ascii="宋体" w:hAnsi="宋体" w:eastAsia="宋体"/>
                <w:sz w:val="20"/>
              </w:rPr>
              <w:t>项目名称</w:t>
            </w:r>
          </w:p>
        </w:tc>
        <w:tc>
          <w:tcPr>
            <w:tcW w:type="dxa" w:w="-1431"/>
            <w:tcW w:w="2755620000" w:type="dxa"/>
          </w:tcPr>
          <w:p>
            <w:r>
              <w:rPr>
                <w:rFonts w:ascii="宋体" w:hAnsi="宋体" w:eastAsia="宋体"/>
                <w:sz w:val="20"/>
              </w:rPr>
              <w:t>成都双流国际机场、天府国际机场货运信息系统空侧内转及多点交运数据闭环优化项目</w:t>
            </w:r>
          </w:p>
        </w:tc>
      </w:tr>
      <w:tr>
        <w:tc>
          <w:tcPr>
            <w:tcW w:type="dxa" w:w="-1431"/>
            <w:tcW w:w="714420000" w:type="dxa"/>
          </w:tcPr>
          <w:p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-1431"/>
            <w:tcW w:w="2755620000" w:type="dxa"/>
          </w:tcPr>
          <w:p/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  <w:tblW w:w="3470040000" w:type="dxa"/>
        <w:tblLayout w:type="fixed"/>
      </w:tblPr>
      <w:tblGrid>
        <w:gridCol w:w="714420000"/>
        <w:gridCol w:w="2755620000"/>
      </w:tblGrid>
      <w:tr>
        <w:tc>
          <w:tcPr>
            <w:tcW w:type="dxa" w:w="-1431"/>
            <w:tcW w:w="714420000" w:type="dxa"/>
          </w:tcPr>
          <w:p>
            <w:r>
              <w:rPr>
                <w:rFonts w:ascii="宋体" w:hAnsi="宋体" w:eastAsia="宋体"/>
                <w:sz w:val="20"/>
              </w:rPr>
              <w:t>建设单位</w:t>
            </w:r>
          </w:p>
        </w:tc>
        <w:tc>
          <w:tcPr>
            <w:tcW w:type="dxa" w:w="-1431"/>
            <w:tcW w:w="2755620000" w:type="dxa"/>
          </w:tcPr>
          <w:p>
            <w:r>
              <w:rPr>
                <w:rFonts w:ascii="宋体" w:hAnsi="宋体" w:eastAsia="宋体"/>
                <w:sz w:val="20"/>
              </w:rPr>
              <w:t>成都双流/天府国际机场货运事业部</w:t>
            </w:r>
          </w:p>
        </w:tc>
      </w:tr>
      <w:tr>
        <w:tc>
          <w:tcPr>
            <w:tcW w:type="dxa" w:w="-1431"/>
            <w:tcW w:w="714420000" w:type="dxa"/>
          </w:tcPr>
          <w:p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-1431"/>
            <w:tcW w:w="2755620000" w:type="dxa"/>
          </w:tcPr>
          <w:p/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  <w:tblW w:w="3470040000" w:type="dxa"/>
        <w:tblLayout w:type="fixed"/>
      </w:tblPr>
      <w:tblGrid>
        <w:gridCol w:w="714420000"/>
        <w:gridCol w:w="2755620000"/>
      </w:tblGrid>
      <w:tr>
        <w:tc>
          <w:tcPr>
            <w:tcW w:type="dxa" w:w="-1431"/>
            <w:tcW w:w="714420000" w:type="dxa"/>
          </w:tcPr>
          <w:p>
            <w:r>
              <w:rPr>
                <w:rFonts w:ascii="宋体" w:hAnsi="宋体" w:eastAsia="宋体"/>
                <w:sz w:val="20"/>
              </w:rPr>
              <w:t>实施地址</w:t>
            </w:r>
          </w:p>
        </w:tc>
        <w:tc>
          <w:tcPr>
            <w:tcW w:type="dxa" w:w="-1431"/>
            <w:tcW w:w="2755620000" w:type="dxa"/>
          </w:tcPr>
          <w:p>
            <w:r>
              <w:rPr>
                <w:rFonts w:ascii="宋体" w:hAnsi="宋体" w:eastAsia="宋体"/>
                <w:sz w:val="20"/>
              </w:rPr>
              <w:t>成都双流国际机场、成都天府国际机场</w:t>
            </w:r>
          </w:p>
        </w:tc>
      </w:tr>
      <w:tr>
        <w:tc>
          <w:tcPr>
            <w:tcW w:type="dxa" w:w="-1431"/>
            <w:tcW w:w="714420000" w:type="dxa"/>
          </w:tcPr>
          <w:p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-1431"/>
            <w:tcW w:w="2755620000" w:type="dxa"/>
          </w:tcPr>
          <w:p/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  <w:tblW w:w="3470040000" w:type="dxa"/>
        <w:tblLayout w:type="fixed"/>
      </w:tblPr>
      <w:tblGrid>
        <w:gridCol w:w="714420000"/>
        <w:gridCol w:w="2755620000"/>
      </w:tblGrid>
      <w:tr>
        <w:tc>
          <w:tcPr>
            <w:tcW w:type="dxa" w:w="-1431"/>
            <w:tcW w:w="714420000" w:type="dxa"/>
          </w:tcPr>
          <w:p>
            <w:r>
              <w:rPr>
                <w:rFonts w:ascii="宋体" w:hAnsi="宋体" w:eastAsia="宋体"/>
                <w:sz w:val="20"/>
              </w:rPr>
              <w:t>计划工期</w:t>
            </w:r>
          </w:p>
        </w:tc>
        <w:tc>
          <w:tcPr>
            <w:tcW w:type="dxa" w:w="-1431"/>
            <w:tcW w:w="2755620000" w:type="dxa"/>
          </w:tcPr>
          <w:p>
            <w:r>
              <w:rPr>
                <w:rFonts w:ascii="宋体" w:hAnsi="宋体" w:eastAsia="宋体"/>
                <w:sz w:val="20"/>
              </w:rPr>
              <w:t>6个月（自合同签订之日起算）</w:t>
            </w:r>
          </w:p>
        </w:tc>
      </w:tr>
      <w:tr>
        <w:tc>
          <w:tcPr>
            <w:tcW w:type="dxa" w:w="-1431"/>
            <w:tcW w:w="714420000" w:type="dxa"/>
          </w:tcPr>
          <w:p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-1431"/>
            <w:tcW w:w="2755620000" w:type="dxa"/>
          </w:tcPr>
          <w:p/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  <w:tblW w:w="3470040000" w:type="dxa"/>
        <w:tblLayout w:type="fixed"/>
      </w:tblPr>
      <w:tblGrid>
        <w:gridCol w:w="714420000"/>
        <w:gridCol w:w="2755620000"/>
      </w:tblGrid>
      <w:tr>
        <w:tc>
          <w:tcPr>
            <w:tcW w:type="dxa" w:w="-1431"/>
            <w:tcW w:w="714420000" w:type="dxa"/>
          </w:tcPr>
          <w:p>
            <w:r>
              <w:rPr>
                <w:rFonts w:ascii="宋体" w:hAnsi="宋体" w:eastAsia="宋体"/>
                <w:sz w:val="20"/>
              </w:rPr>
              <w:t>招标范围</w:t>
            </w:r>
          </w:p>
        </w:tc>
        <w:tc>
          <w:tcPr>
            <w:tcW w:type="dxa" w:w="-1431"/>
            <w:tcW w:w="2755620000" w:type="dxa"/>
          </w:tcPr>
          <w:p>
            <w:r>
              <w:rPr>
                <w:rFonts w:ascii="宋体" w:hAnsi="宋体" w:eastAsia="宋体"/>
                <w:sz w:val="20"/>
              </w:rPr>
              <w:t>双流机场货运系统、天府机场货运系统空侧内转及多点交运功能升级改造</w:t>
            </w:r>
          </w:p>
        </w:tc>
      </w:tr>
      <w:tr>
        <w:tc>
          <w:tcPr>
            <w:tcW w:type="dxa" w:w="-1431"/>
            <w:tcW w:w="714420000" w:type="dxa"/>
          </w:tcPr>
          <w:p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-1431"/>
            <w:tcW w:w="2755620000" w:type="dxa"/>
          </w:tcPr>
          <w:p/>
        </w:tc>
      </w:tr>
    </w:tbl>
    <w:p/>
    <w:p>
      <w:pPr>
        <w:pStyle w:val="Heading2"/>
      </w:pPr>
      <w:r>
        <w:rPr>
          <w:rFonts w:ascii="宋体" w:hAnsi="宋体" w:eastAsia="宋体"/>
          <w:sz w:val="26"/>
        </w:rPr>
        <w:t>投标人和投标产品的资格、资质性要求</w:t>
      </w:r>
    </w:p>
    <w:p>
      <w:pPr>
        <w:pStyle w:val="ListBullet"/>
      </w:pPr>
      <w:r>
        <w:rPr>
          <w:rFonts w:ascii="宋体" w:hAnsi="宋体" w:eastAsia="宋体"/>
          <w:sz w:val="22"/>
        </w:rPr>
        <w:t>1. 具有承担民事责任的能力</w:t>
      </w:r>
    </w:p>
    <w:p>
      <w:pPr>
        <w:pStyle w:val="ListBullet"/>
      </w:pPr>
      <w:r>
        <w:rPr>
          <w:rFonts w:ascii="宋体" w:hAnsi="宋体" w:eastAsia="宋体"/>
          <w:sz w:val="22"/>
        </w:rPr>
        <w:t>2. 具有良好的商业信誉和健全的财务会计制度</w:t>
      </w:r>
    </w:p>
    <w:p>
      <w:pPr>
        <w:pStyle w:val="ListBullet"/>
      </w:pPr>
      <w:r>
        <w:rPr>
          <w:rFonts w:ascii="宋体" w:hAnsi="宋体" w:eastAsia="宋体"/>
          <w:sz w:val="22"/>
        </w:rPr>
        <w:t>3. 具有履行合同所必需的设备和专业技术等能力</w:t>
      </w:r>
    </w:p>
    <w:p>
      <w:pPr>
        <w:pStyle w:val="ListBullet"/>
      </w:pPr>
      <w:r>
        <w:rPr>
          <w:rFonts w:ascii="宋体" w:hAnsi="宋体" w:eastAsia="宋体"/>
          <w:sz w:val="22"/>
        </w:rPr>
        <w:t>4. 有依法缴纳税收和社会保障资金的良好记录</w:t>
      </w:r>
    </w:p>
    <w:p>
      <w:pPr>
        <w:pStyle w:val="ListBullet"/>
      </w:pPr>
      <w:r>
        <w:rPr>
          <w:rFonts w:ascii="宋体" w:hAnsi="宋体" w:eastAsia="宋体"/>
          <w:sz w:val="22"/>
        </w:rPr>
        <w:t>5. 参加采购、招投标等活动前三年内，在经营活动中没有重大违法记录</w:t>
      </w:r>
    </w:p>
    <w:p>
      <w:pPr>
        <w:pStyle w:val="ListBullet"/>
      </w:pPr>
      <w:r>
        <w:rPr>
          <w:rFonts w:ascii="宋体" w:hAnsi="宋体" w:eastAsia="宋体"/>
          <w:sz w:val="22"/>
        </w:rPr>
        <w:t>6. 法律、行政法规规定的其他条件</w:t>
      </w:r>
    </w:p>
    <w:p>
      <w:pPr>
        <w:pStyle w:val="ListBullet"/>
      </w:pPr>
      <w:r>
        <w:rPr>
          <w:rFonts w:ascii="宋体" w:hAnsi="宋体" w:eastAsia="宋体"/>
          <w:sz w:val="22"/>
        </w:rPr>
        <w:t>7. 投标人单位及现任法定代表人、主要负责人不得具有行贿犯罪记录</w:t>
      </w:r>
    </w:p>
    <w:p>
      <w:pPr>
        <w:pStyle w:val="ListBullet"/>
      </w:pPr>
      <w:r>
        <w:rPr>
          <w:rFonts w:ascii="宋体" w:hAnsi="宋体" w:eastAsia="宋体"/>
          <w:sz w:val="22"/>
        </w:rPr>
        <w:t>8. 信誉要求：投标人不得为信用中国网站（www.creditchina.gov.cn）中列入重大税收违法案件、政府采购严重违法失信当事人名单的供应商；不得为中国执行信息公开网站（http://zxgk.court.gov.cn/shixin/）中列入失信被执行人名单的供应商</w:t>
      </w:r>
    </w:p>
    <w:p/>
    <w:p>
      <w:pPr>
        <w:pStyle w:val="Heading2"/>
      </w:pPr>
      <w:r>
        <w:rPr>
          <w:rFonts w:ascii="宋体" w:hAnsi="宋体" w:eastAsia="宋体"/>
          <w:sz w:val="26"/>
        </w:rPr>
        <w:t>技术（服务）及商务要求</w:t>
      </w:r>
    </w:p>
    <w:p>
      <w:pPr>
        <w:pStyle w:val="Heading3"/>
      </w:pPr>
      <w:r>
        <w:rPr>
          <w:rFonts w:ascii="宋体" w:hAnsi="宋体" w:eastAsia="宋体"/>
          <w:sz w:val="24"/>
        </w:rPr>
        <w:t>★技术要求</w:t>
      </w:r>
    </w:p>
    <w:p>
      <w:r>
        <w:rPr>
          <w:rFonts w:ascii="宋体" w:hAnsi="宋体" w:eastAsia="宋体"/>
          <w:sz w:val="24"/>
        </w:rPr>
        <w:t>一、项目背景</w:t>
      </w:r>
    </w:p>
    <w:p>
      <w:r>
        <w:rPr>
          <w:rFonts w:ascii="宋体" w:hAnsi="宋体" w:eastAsia="宋体"/>
          <w:sz w:val="22"/>
        </w:rPr>
        <w:t>随着成都双流国际机场、天府国际机场货运吞吐量的持续增长，空侧内转与多点交运业务量显著上升。现有货运系统在业务流程中存在以下问题：</w:t>
      </w:r>
    </w:p>
    <w:p>
      <w:pPr>
        <w:pStyle w:val="ListBullet"/>
      </w:pPr>
      <w:r>
        <w:rPr>
          <w:rFonts w:ascii="宋体" w:hAnsi="宋体" w:eastAsia="宋体"/>
          <w:sz w:val="22"/>
        </w:rPr>
        <w:t>数据流转不畅：货运系统、海关系统与卡口过卡数据之间缺乏实时对接，存在信息滞后与人工干预环节</w:t>
      </w:r>
    </w:p>
    <w:p>
      <w:pPr>
        <w:pStyle w:val="ListBullet"/>
      </w:pPr>
      <w:r>
        <w:rPr>
          <w:rFonts w:ascii="宋体" w:hAnsi="宋体" w:eastAsia="宋体"/>
          <w:sz w:val="22"/>
        </w:rPr>
        <w:t>监管闭环不完整：运抵报告、理货报告与卡口过卡记录之间未形成强制校验机制，存在监管漏洞风险</w:t>
      </w:r>
    </w:p>
    <w:p>
      <w:pPr>
        <w:pStyle w:val="ListBullet"/>
      </w:pPr>
      <w:r>
        <w:rPr>
          <w:rFonts w:ascii="宋体" w:hAnsi="宋体" w:eastAsia="宋体"/>
          <w:sz w:val="22"/>
        </w:rPr>
        <w:t>业务类型复杂多样：跨境电商、普货、转关等业务形态差异大，但系统支持功能单一，无法实现精细化管控</w:t>
      </w:r>
    </w:p>
    <w:p>
      <w:r>
        <w:rPr>
          <w:rFonts w:ascii="宋体" w:hAnsi="宋体" w:eastAsia="宋体"/>
          <w:sz w:val="24"/>
        </w:rPr>
        <w:t>二、项目建设目标</w:t>
      </w:r>
    </w:p>
    <w:p>
      <w:r>
        <w:rPr>
          <w:rFonts w:ascii="宋体" w:hAnsi="宋体" w:eastAsia="宋体"/>
          <w:sz w:val="22"/>
        </w:rPr>
        <w:t>本次招标为现有双流、天府货运系统的升级改造项目，核心目标如下：</w:t>
      </w:r>
    </w:p>
    <w:p>
      <w:pPr>
        <w:pStyle w:val="ListBullet"/>
      </w:pPr>
      <w:r>
        <w:rPr>
          <w:rFonts w:ascii="宋体" w:hAnsi="宋体" w:eastAsia="宋体"/>
          <w:sz w:val="22"/>
        </w:rPr>
        <w:t>实现空侧内转、多点交运业务的全链路数据自动比对与校验</w:t>
      </w:r>
    </w:p>
    <w:p>
      <w:pPr>
        <w:pStyle w:val="ListBullet"/>
      </w:pPr>
      <w:r>
        <w:rPr>
          <w:rFonts w:ascii="宋体" w:hAnsi="宋体" w:eastAsia="宋体"/>
          <w:sz w:val="22"/>
        </w:rPr>
        <w:t>建立基于业务类型的差异化智能验放机制，提升通关效率</w:t>
      </w:r>
    </w:p>
    <w:p>
      <w:pPr>
        <w:pStyle w:val="ListBullet"/>
      </w:pPr>
      <w:r>
        <w:rPr>
          <w:rFonts w:ascii="宋体" w:hAnsi="宋体" w:eastAsia="宋体"/>
          <w:sz w:val="22"/>
        </w:rPr>
        <w:t>构建海关与货运企业协同的双端闭环监管体系，增强风险防控能力</w:t>
      </w:r>
    </w:p>
    <w:p>
      <w:r>
        <w:rPr>
          <w:rFonts w:ascii="宋体" w:hAnsi="宋体" w:eastAsia="宋体"/>
          <w:sz w:val="24"/>
        </w:rPr>
        <w:t>三、系统改造范围</w:t>
      </w:r>
    </w:p>
    <w:p>
      <w:r>
        <w:rPr>
          <w:rFonts w:ascii="宋体" w:hAnsi="宋体" w:eastAsia="宋体"/>
          <w:sz w:val="22"/>
        </w:rPr>
        <w:t>本项目改造范围覆盖双流机场货运系统、天府机场货运系统，改造内容包括：</w:t>
      </w:r>
    </w:p>
    <w:p>
      <w:pPr>
        <w:pStyle w:val="ListBullet"/>
      </w:pPr>
      <w:r>
        <w:rPr>
          <w:rFonts w:ascii="宋体" w:hAnsi="宋体" w:eastAsia="宋体"/>
          <w:sz w:val="22"/>
        </w:rPr>
        <w:t>3.1 新增多点交运申报模块：支持在线提交申请，自动关联提运单、舱单，区分"出口跨电/出口普货/出口转关"类型</w:t>
      </w:r>
    </w:p>
    <w:p>
      <w:pPr>
        <w:pStyle w:val="ListBullet"/>
      </w:pPr>
      <w:r>
        <w:rPr>
          <w:rFonts w:ascii="宋体" w:hAnsi="宋体" w:eastAsia="宋体"/>
          <w:sz w:val="22"/>
        </w:rPr>
        <w:t>3.2 新增空侧内转申报模块：支持在线提交申请，自动关联提运单、舱单，区分"进口跨电/进口普货/进口转关"类型</w:t>
      </w:r>
    </w:p>
    <w:p>
      <w:pPr>
        <w:pStyle w:val="ListBullet"/>
      </w:pPr>
      <w:r>
        <w:rPr>
          <w:rFonts w:ascii="宋体" w:hAnsi="宋体" w:eastAsia="宋体"/>
          <w:sz w:val="22"/>
        </w:rPr>
        <w:t>3.3 国内进港空侧内转换单功能：支持国内进港空侧内转国际出港换单，须先完成换单才能申报</w:t>
      </w:r>
    </w:p>
    <w:p>
      <w:pPr>
        <w:pStyle w:val="ListBullet"/>
      </w:pPr>
      <w:r>
        <w:rPr>
          <w:rFonts w:ascii="宋体" w:hAnsi="宋体" w:eastAsia="宋体"/>
          <w:sz w:val="22"/>
        </w:rPr>
        <w:t>3.4 状态校验与联动机制：库区接收校验、出库强校验，解决过卡时间早于运抵报告问题</w:t>
      </w:r>
    </w:p>
    <w:p>
      <w:r>
        <w:rPr>
          <w:rFonts w:ascii="宋体" w:hAnsi="宋体" w:eastAsia="宋体"/>
          <w:sz w:val="24"/>
        </w:rPr>
        <w:t>四、技术要求</w:t>
      </w:r>
    </w:p>
    <w:p>
      <w:r>
        <w:rPr>
          <w:rFonts w:ascii="宋体" w:hAnsi="宋体" w:eastAsia="宋体"/>
          <w:sz w:val="22"/>
        </w:rPr>
        <w:t>4.1 系统架构要求：本项目为现有系统升级改造，须与现有货运生产系统深度集成。</w:t>
      </w:r>
    </w:p>
    <w:p>
      <w:r>
        <w:rPr>
          <w:rFonts w:ascii="宋体" w:hAnsi="宋体" w:eastAsia="宋体"/>
          <w:sz w:val="22"/>
        </w:rPr>
        <w:t>4.2 接口对接：与天府-海关物流监控平台、双流-海关物流监控平台进行数据实时同步。</w:t>
      </w:r>
    </w:p>
    <w:p>
      <w:r>
        <w:rPr>
          <w:rFonts w:ascii="宋体" w:hAnsi="宋体" w:eastAsia="宋体"/>
          <w:sz w:val="22"/>
        </w:rPr>
        <w:t>4.3 性能要求：页面操作响应≤2秒，数据同步延迟≤10秒，系统可用性≥99.5%。</w:t>
      </w:r>
    </w:p>
    <w:p>
      <w:r>
        <w:rPr>
          <w:rFonts w:ascii="宋体" w:hAnsi="宋体" w:eastAsia="宋体"/>
          <w:sz w:val="22"/>
        </w:rPr>
        <w:t>4.4 安全要求：满足网络安全等级保护二级要求，操作日志完整记录，敏感数据传输加密。</w:t>
      </w:r>
    </w:p>
    <w:p>
      <w:r>
        <w:rPr>
          <w:rFonts w:ascii="宋体" w:hAnsi="宋体" w:eastAsia="宋体"/>
          <w:sz w:val="24"/>
        </w:rPr>
        <w:t>五、功能详细要求</w:t>
      </w:r>
    </w:p>
    <w:p>
      <w:r>
        <w:rPr>
          <w:rFonts w:ascii="宋体" w:hAnsi="宋体" w:eastAsia="宋体"/>
          <w:sz w:val="22"/>
        </w:rPr>
        <w:t>5.1 多点交运申报功能</w:t>
      </w:r>
    </w:p>
    <w:p>
      <w:pPr>
        <w:pStyle w:val="ListBullet"/>
      </w:pPr>
      <w:r>
        <w:rPr>
          <w:rFonts w:ascii="宋体" w:hAnsi="宋体" w:eastAsia="宋体"/>
          <w:sz w:val="22"/>
        </w:rPr>
        <w:t>申请提交：货代在线提交多点交运预申请，货站确认后进行车辆与提运单绑定，向海关发起正式申报</w:t>
      </w:r>
    </w:p>
    <w:p>
      <w:pPr>
        <w:pStyle w:val="ListBullet"/>
      </w:pPr>
      <w:r>
        <w:rPr>
          <w:rFonts w:ascii="宋体" w:hAnsi="宋体" w:eastAsia="宋体"/>
          <w:sz w:val="22"/>
        </w:rPr>
        <w:t>类型选择：可选"出口跨电/出口普货/出口转关"，系统自动匹配业务流程</w:t>
      </w:r>
    </w:p>
    <w:p>
      <w:pPr>
        <w:pStyle w:val="ListBullet"/>
      </w:pPr>
      <w:r>
        <w:rPr>
          <w:rFonts w:ascii="宋体" w:hAnsi="宋体" w:eastAsia="宋体"/>
          <w:sz w:val="22"/>
        </w:rPr>
        <w:t>状态查询：实时查询海关审批状态</w:t>
      </w:r>
    </w:p>
    <w:p>
      <w:pPr>
        <w:pStyle w:val="ListBullet"/>
      </w:pPr>
      <w:r>
        <w:rPr>
          <w:rFonts w:ascii="宋体" w:hAnsi="宋体" w:eastAsia="宋体"/>
          <w:sz w:val="22"/>
        </w:rPr>
        <w:t>运抵报告控制：运单未接收状态时，货运系统禁止发送运抵报告</w:t>
      </w:r>
    </w:p>
    <w:p>
      <w:r>
        <w:rPr>
          <w:rFonts w:ascii="宋体" w:hAnsi="宋体" w:eastAsia="宋体"/>
          <w:sz w:val="22"/>
        </w:rPr>
        <w:t>5.2 空侧内转申报功能</w:t>
      </w:r>
    </w:p>
    <w:p>
      <w:pPr>
        <w:pStyle w:val="ListBullet"/>
      </w:pPr>
      <w:r>
        <w:rPr>
          <w:rFonts w:ascii="宋体" w:hAnsi="宋体" w:eastAsia="宋体"/>
          <w:sz w:val="22"/>
        </w:rPr>
        <w:t>申请提交：货代在线提交空侧内转预申请，货站确认后进行车辆与提运单绑定，向海关发起正式申报</w:t>
      </w:r>
    </w:p>
    <w:p>
      <w:pPr>
        <w:pStyle w:val="ListBullet"/>
      </w:pPr>
      <w:r>
        <w:rPr>
          <w:rFonts w:ascii="宋体" w:hAnsi="宋体" w:eastAsia="宋体"/>
          <w:sz w:val="22"/>
        </w:rPr>
        <w:t>换单管理：国内进港内转国际时，须先完成换单才能申报</w:t>
      </w:r>
    </w:p>
    <w:p>
      <w:pPr>
        <w:pStyle w:val="ListBullet"/>
      </w:pPr>
      <w:r>
        <w:rPr>
          <w:rFonts w:ascii="宋体" w:hAnsi="宋体" w:eastAsia="宋体"/>
          <w:sz w:val="22"/>
        </w:rPr>
        <w:t>类型区分：区分"进口跨电/进口普货/进口转关"，自动关联相应业务</w:t>
      </w:r>
    </w:p>
    <w:p>
      <w:pPr>
        <w:pStyle w:val="ListBullet"/>
      </w:pPr>
      <w:r>
        <w:rPr>
          <w:rFonts w:ascii="宋体" w:hAnsi="宋体" w:eastAsia="宋体"/>
          <w:sz w:val="22"/>
        </w:rPr>
        <w:t>海关对接：实时获取审批状态，结果同步至货运系统</w:t>
      </w:r>
    </w:p>
    <w:p>
      <w:r>
        <w:rPr>
          <w:rFonts w:ascii="宋体" w:hAnsi="宋体" w:eastAsia="宋体"/>
          <w:sz w:val="22"/>
        </w:rPr>
        <w:t>5.3 状态校验与联动</w:t>
      </w:r>
    </w:p>
    <w:p>
      <w:pPr>
        <w:pStyle w:val="ListBullet"/>
      </w:pPr>
      <w:r>
        <w:rPr>
          <w:rFonts w:ascii="宋体" w:hAnsi="宋体" w:eastAsia="宋体"/>
          <w:sz w:val="22"/>
        </w:rPr>
        <w:t>库区接收校验：强制校验库区货物已接收，才能发起多点交运申请</w:t>
      </w:r>
    </w:p>
    <w:p>
      <w:pPr>
        <w:pStyle w:val="ListBullet"/>
      </w:pPr>
      <w:r>
        <w:rPr>
          <w:rFonts w:ascii="宋体" w:hAnsi="宋体" w:eastAsia="宋体"/>
          <w:sz w:val="22"/>
        </w:rPr>
        <w:t>出库强校验：空侧内转申报审核未通过时，货运系统禁止货物出库</w:t>
      </w:r>
    </w:p>
    <w:p>
      <w:r>
        <w:rPr>
          <w:rFonts w:ascii="宋体" w:hAnsi="宋体" w:eastAsia="宋体"/>
          <w:sz w:val="24"/>
        </w:rPr>
        <w:t>六、实施要求</w:t>
      </w:r>
    </w:p>
    <w:p>
      <w:r>
        <w:rPr>
          <w:rFonts w:ascii="宋体" w:hAnsi="宋体" w:eastAsia="宋体"/>
          <w:sz w:val="22"/>
        </w:rPr>
        <w:t>6.1 实施周期：6个月，需求调研（第1-4周）、开发测试（第5-16周）、UAT试运行（第17-22周）、上线（第23-24周）。</w:t>
      </w:r>
    </w:p>
    <w:p>
      <w:r>
        <w:rPr>
          <w:rFonts w:ascii="宋体" w:hAnsi="宋体" w:eastAsia="宋体"/>
          <w:sz w:val="22"/>
        </w:rPr>
        <w:t>6.2 团队要求：项目经理1人、技术负责人1人、开发工程师≥3人、测试工程师≥1人、驻场支持1人。</w:t>
      </w:r>
    </w:p>
    <w:p>
      <w:r>
        <w:rPr>
          <w:rFonts w:ascii="宋体" w:hAnsi="宋体" w:eastAsia="宋体"/>
          <w:sz w:val="22"/>
        </w:rPr>
        <w:t>6.3 培训要求：提供用户操作手册、现场培训、培训视频及在线帮助文档。</w:t>
      </w:r>
    </w:p>
    <w:p>
      <w:r>
        <w:rPr>
          <w:rFonts w:ascii="宋体" w:hAnsi="宋体" w:eastAsia="宋体"/>
          <w:sz w:val="24"/>
        </w:rPr>
        <w:t>七、验收标准</w:t>
      </w:r>
    </w:p>
    <w:p>
      <w:pPr>
        <w:pStyle w:val="ListBullet"/>
      </w:pPr>
      <w:r>
        <w:rPr>
          <w:rFonts w:ascii="宋体" w:hAnsi="宋体" w:eastAsia="宋体"/>
          <w:sz w:val="22"/>
        </w:rPr>
        <w:t>全部功能点按需求规格完成开发并通过UAT</w:t>
      </w:r>
    </w:p>
    <w:p>
      <w:pPr>
        <w:pStyle w:val="ListBullet"/>
      </w:pPr>
      <w:r>
        <w:rPr>
          <w:rFonts w:ascii="宋体" w:hAnsi="宋体" w:eastAsia="宋体"/>
          <w:sz w:val="22"/>
        </w:rPr>
        <w:t>与海关各系统接口对接测试通过，数据传输稳定</w:t>
      </w:r>
    </w:p>
    <w:p>
      <w:pPr>
        <w:pStyle w:val="ListBullet"/>
      </w:pPr>
      <w:r>
        <w:rPr>
          <w:rFonts w:ascii="宋体" w:hAnsi="宋体" w:eastAsia="宋体"/>
          <w:sz w:val="22"/>
        </w:rPr>
        <w:t>系统性能满足指标要求</w:t>
      </w:r>
    </w:p>
    <w:p>
      <w:pPr>
        <w:pStyle w:val="ListBullet"/>
      </w:pPr>
      <w:r>
        <w:rPr>
          <w:rFonts w:ascii="宋体" w:hAnsi="宋体" w:eastAsia="宋体"/>
          <w:sz w:val="22"/>
        </w:rPr>
        <w:t>用户培训完成，操作人员考核通过</w:t>
      </w:r>
    </w:p>
    <w:p>
      <w:pPr>
        <w:pStyle w:val="ListBullet"/>
      </w:pPr>
      <w:r>
        <w:rPr>
          <w:rFonts w:ascii="宋体" w:hAnsi="宋体" w:eastAsia="宋体"/>
          <w:sz w:val="22"/>
        </w:rPr>
        <w:t>文档齐全，包含设计文档、操作手册、测试报告</w:t>
      </w:r>
    </w:p>
    <w:p>
      <w:r>
        <w:rPr>
          <w:rFonts w:ascii="宋体" w:hAnsi="宋体" w:eastAsia="宋体"/>
          <w:sz w:val="24"/>
        </w:rPr>
        <w:t>八、售后服务</w:t>
      </w:r>
    </w:p>
    <w:p>
      <w:pPr>
        <w:pStyle w:val="ListBullet"/>
      </w:pPr>
      <w:r>
        <w:rPr>
          <w:rFonts w:ascii="宋体" w:hAnsi="宋体" w:eastAsia="宋体"/>
          <w:sz w:val="22"/>
        </w:rPr>
        <w:t>8.1 质保期：12个月免费质保期，7×24小时技术支持。缺陷修复：严重≤4小时，高优先级≤8小时，中优先级≤24小时，低优先级≤72小时。</w:t>
      </w:r>
    </w:p>
    <w:p>
      <w:pPr>
        <w:pStyle w:val="ListBullet"/>
      </w:pPr>
      <w:r>
        <w:rPr>
          <w:rFonts w:ascii="宋体" w:hAnsi="宋体" w:eastAsia="宋体"/>
          <w:sz w:val="22"/>
        </w:rPr>
        <w:t>8.2 质保期后：年度维保服务方案，费用不超过合同额10%/年。</w:t>
      </w:r>
    </w:p>
    <w:p>
      <w:pPr>
        <w:pStyle w:val="ListBullet"/>
      </w:pPr>
      <w:r>
        <w:rPr>
          <w:rFonts w:ascii="宋体" w:hAnsi="宋体" w:eastAsia="宋体"/>
          <w:sz w:val="22"/>
        </w:rPr>
        <w:t>8.3 知识转移：完成源代码及文档移交，配合甲方运维团队过渡。</w:t>
      </w:r>
    </w:p>
    <w:p/>
    <w:p>
      <w:pPr>
        <w:pStyle w:val="Heading3"/>
      </w:pPr>
      <w:r>
        <w:rPr>
          <w:rFonts w:ascii="宋体" w:hAnsi="宋体" w:eastAsia="宋体"/>
          <w:sz w:val="24"/>
        </w:rPr>
        <w:t>★商务要求</w:t>
      </w:r>
    </w:p>
    <w:p>
      <w:pPr>
        <w:pStyle w:val="ListBullet"/>
      </w:pPr>
      <w:r>
        <w:rPr>
          <w:rFonts w:ascii="宋体" w:hAnsi="宋体" w:eastAsia="宋体"/>
          <w:sz w:val="22"/>
        </w:rPr>
        <w:t>1. 履约保证金：合同签订后7日内，按合同总价款10%提交履约保证金，验收合格后15个工作日内无息退还</w:t>
      </w:r>
    </w:p>
    <w:p>
      <w:pPr>
        <w:pStyle w:val="ListBullet"/>
      </w:pPr>
      <w:r>
        <w:rPr>
          <w:rFonts w:ascii="宋体" w:hAnsi="宋体" w:eastAsia="宋体"/>
          <w:sz w:val="22"/>
        </w:rPr>
        <w:t>2. 付款方式：合同签订后支付30%预付款，系统上线支付30%，初步验收支付20%，最终验收支付20%</w:t>
      </w:r>
    </w:p>
    <w:p>
      <w:pPr>
        <w:pStyle w:val="ListBullet"/>
      </w:pPr>
      <w:r>
        <w:rPr>
          <w:rFonts w:ascii="宋体" w:hAnsi="宋体" w:eastAsia="宋体"/>
          <w:sz w:val="22"/>
        </w:rPr>
        <w:t>3. 工期：本项目总工期不超过6个月，其中试运行不超过1个月</w:t>
      </w:r>
    </w:p>
    <w:p>
      <w:pPr>
        <w:pStyle w:val="ListBullet"/>
      </w:pPr>
      <w:r>
        <w:rPr>
          <w:rFonts w:ascii="宋体" w:hAnsi="宋体" w:eastAsia="宋体"/>
          <w:sz w:val="22"/>
        </w:rPr>
        <w:t>4. 质保期：二年，从系统最终验收之日计算</w:t>
      </w:r>
    </w:p>
    <w:p/>
    <w:p>
      <w:r>
        <w:rPr>
          <w:rFonts w:ascii="宋体" w:hAnsi="宋体" w:eastAsia="宋体"/>
          <w:sz w:val="22"/>
        </w:rPr>
        <w:t>注：本章加★项为实质性要求，不满足作废标处理。</w:t>
      </w:r>
    </w:p>
    <w:p/>
    <w:p>
      <w:pPr>
        <w:pStyle w:val="Heading2"/>
      </w:pPr>
      <w:r>
        <w:rPr>
          <w:rFonts w:ascii="宋体" w:hAnsi="宋体" w:eastAsia="宋体"/>
          <w:sz w:val="26"/>
        </w:rPr>
        <w:t>综合评分明细表</w:t>
      </w:r>
    </w:p>
    <w:tbl>
      <w:tblPr>
        <w:tblStyle w:val="TableGrid"/>
        <w:tblW w:type="auto" w:w="0"/>
        <w:tblLook w:firstColumn="1" w:firstRow="1" w:lastColumn="0" w:lastRow="0" w:noHBand="0" w:noVBand="1" w:val="04A0"/>
        <w:tblW w:w="9639" w:type="dxa"/>
        <w:tblLayout w:type="fixed"/>
      </w:tblPr>
      <w:tblGrid>
        <w:gridCol w:w="567"/>
        <w:gridCol w:w="2268"/>
        <w:gridCol w:w="850"/>
        <w:gridCol w:w="4252"/>
        <w:gridCol w:w="1701"/>
      </w:tblGrid>
      <w:tr>
        <w:tc>
          <w:tcPr>
            <w:tcW w:type="dxa" w:w="-572"/>
            <w:tcW w:w="204120000" w:type="dxa"/>
            <w:tcW w:w="567" w:type="dxa"/>
          </w:tcPr>
          <w:p>
            <w:r>
              <w:rPr>
                <w:rFonts w:ascii="宋体" w:hAnsi="宋体" w:eastAsia="宋体"/>
                <w:sz w:val="18"/>
              </w:rPr>
              <w:t>序号</w:t>
            </w:r>
          </w:p>
        </w:tc>
        <w:tc>
          <w:tcPr>
            <w:tcW w:type="dxa" w:w="-572"/>
            <w:tcW w:w="816480000" w:type="dxa"/>
            <w:tcW w:w="2268" w:type="dxa"/>
          </w:tcPr>
          <w:p>
            <w:r>
              <w:rPr>
                <w:rFonts w:ascii="宋体" w:hAnsi="宋体" w:eastAsia="宋体"/>
                <w:sz w:val="18"/>
              </w:rPr>
              <w:t>评分因素及权重</w:t>
            </w:r>
          </w:p>
        </w:tc>
        <w:tc>
          <w:tcPr>
            <w:tcW w:type="dxa" w:w="-572"/>
            <w:tcW w:w="306180000" w:type="dxa"/>
            <w:tcW w:w="850" w:type="dxa"/>
          </w:tcPr>
          <w:p>
            <w:r>
              <w:rPr>
                <w:rFonts w:ascii="宋体" w:hAnsi="宋体" w:eastAsia="宋体"/>
                <w:sz w:val="18"/>
              </w:rPr>
              <w:t>分值</w:t>
            </w:r>
          </w:p>
        </w:tc>
        <w:tc>
          <w:tcPr>
            <w:tcW w:type="dxa" w:w="-572"/>
            <w:tcW w:w="1530900000" w:type="dxa"/>
            <w:tcW w:w="4252" w:type="dxa"/>
          </w:tcPr>
          <w:p>
            <w:r>
              <w:rPr>
                <w:rFonts w:ascii="宋体" w:hAnsi="宋体" w:eastAsia="宋体"/>
                <w:sz w:val="18"/>
              </w:rPr>
              <w:t>评分标准</w:t>
            </w:r>
          </w:p>
        </w:tc>
        <w:tc>
          <w:tcPr>
            <w:tcW w:type="dxa" w:w="-572"/>
            <w:tcW w:w="612360000" w:type="dxa"/>
            <w:tcW w:w="1701" w:type="dxa"/>
          </w:tcPr>
          <w:p>
            <w:r>
              <w:rPr>
                <w:rFonts w:ascii="宋体" w:hAnsi="宋体" w:eastAsia="宋体"/>
                <w:sz w:val="18"/>
              </w:rPr>
              <w:t>说明</w:t>
            </w:r>
          </w:p>
        </w:tc>
      </w:tr>
      <w:tr>
        <w:tc>
          <w:tcPr>
            <w:tcW w:type="dxa" w:w="-572"/>
            <w:tcW w:w="204120000" w:type="dxa"/>
            <w:tcW w:w="567" w:type="dxa"/>
          </w:tcPr>
          <w:p>
            <w:r>
              <w:rPr>
                <w:rFonts w:ascii="宋体" w:hAnsi="宋体" w:eastAsia="宋体"/>
                <w:sz w:val="16"/>
              </w:rPr>
              <w:t>1</w:t>
            </w:r>
          </w:p>
        </w:tc>
        <w:tc>
          <w:tcPr>
            <w:tcW w:type="dxa" w:w="-572"/>
            <w:tcW w:w="816480000" w:type="dxa"/>
            <w:tcW w:w="2268" w:type="dxa"/>
          </w:tcPr>
          <w:p>
            <w:r>
              <w:rPr>
                <w:rFonts w:ascii="宋体" w:hAnsi="宋体" w:eastAsia="宋体"/>
                <w:sz w:val="16"/>
              </w:rPr>
              <w:t>报价</w:t>
            </w:r>
          </w:p>
        </w:tc>
        <w:tc>
          <w:tcPr>
            <w:tcW w:type="dxa" w:w="-572"/>
            <w:tcW w:w="306180000" w:type="dxa"/>
            <w:tcW w:w="850" w:type="dxa"/>
          </w:tcPr>
          <w:p>
            <w:r>
              <w:rPr>
                <w:rFonts w:ascii="宋体" w:hAnsi="宋体" w:eastAsia="宋体"/>
                <w:sz w:val="16"/>
              </w:rPr>
              <w:t>70分</w:t>
            </w:r>
          </w:p>
        </w:tc>
        <w:tc>
          <w:tcPr>
            <w:tcW w:type="dxa" w:w="-572"/>
            <w:tcW w:w="1530900000" w:type="dxa"/>
            <w:tcW w:w="4252" w:type="dxa"/>
          </w:tcPr>
          <w:p>
            <w:r>
              <w:rPr>
                <w:rFonts w:ascii="宋体" w:hAnsi="宋体" w:eastAsia="宋体"/>
                <w:sz w:val="16"/>
              </w:rPr>
              <w:t>评标基准价：所有有效投标人报价的平均价</w:t>
              <w:br/>
              <w:t>偏差率=100%×|投标人报价-基准价|/基准价</w:t>
              <w:br/>
              <w:t>报价得分：</w:t>
              <w:br/>
              <w:t>报价&gt;基准价：得分=70-偏差率×100×1</w:t>
              <w:br/>
              <w:t>报价≤基准价：得分=70-偏差率×100×0.5</w:t>
            </w:r>
          </w:p>
        </w:tc>
        <w:tc>
          <w:tcPr>
            <w:tcW w:type="dxa" w:w="-572"/>
            <w:tcW w:w="612360000" w:type="dxa"/>
            <w:tcW w:w="1701" w:type="dxa"/>
          </w:tcPr>
          <w:p>
            <w:r>
              <w:rPr>
                <w:rFonts w:ascii="宋体" w:hAnsi="宋体" w:eastAsia="宋体"/>
                <w:sz w:val="16"/>
              </w:rPr>
            </w:r>
          </w:p>
        </w:tc>
      </w:tr>
      <w:tr>
        <w:tc>
          <w:tcPr>
            <w:tcW w:type="dxa" w:w="-572"/>
            <w:tcW w:w="204120000" w:type="dxa"/>
            <w:tcW w:w="567" w:type="dxa"/>
          </w:tcPr>
          <w:p>
            <w:r>
              <w:rPr>
                <w:rFonts w:ascii="宋体" w:hAnsi="宋体" w:eastAsia="宋体"/>
                <w:sz w:val="16"/>
              </w:rPr>
              <w:t>2</w:t>
            </w:r>
          </w:p>
        </w:tc>
        <w:tc>
          <w:tcPr>
            <w:tcW w:type="dxa" w:w="-572"/>
            <w:tcW w:w="816480000" w:type="dxa"/>
            <w:tcW w:w="2268" w:type="dxa"/>
          </w:tcPr>
          <w:p>
            <w:r>
              <w:rPr>
                <w:rFonts w:ascii="宋体" w:hAnsi="宋体" w:eastAsia="宋体"/>
                <w:sz w:val="16"/>
              </w:rPr>
              <w:t>综合实力、项目人员配备</w:t>
            </w:r>
          </w:p>
        </w:tc>
        <w:tc>
          <w:tcPr>
            <w:tcW w:type="dxa" w:w="-572"/>
            <w:tcW w:w="306180000" w:type="dxa"/>
            <w:tcW w:w="850" w:type="dxa"/>
          </w:tcPr>
          <w:p>
            <w:r>
              <w:rPr>
                <w:rFonts w:ascii="宋体" w:hAnsi="宋体" w:eastAsia="宋体"/>
                <w:sz w:val="16"/>
              </w:rPr>
              <w:t>10分</w:t>
            </w:r>
          </w:p>
        </w:tc>
        <w:tc>
          <w:tcPr>
            <w:tcW w:type="dxa" w:w="-572"/>
            <w:tcW w:w="1530900000" w:type="dxa"/>
            <w:tcW w:w="4252" w:type="dxa"/>
          </w:tcPr>
          <w:p>
            <w:r>
              <w:rPr>
                <w:rFonts w:ascii="宋体" w:hAnsi="宋体" w:eastAsia="宋体"/>
                <w:sz w:val="16"/>
              </w:rPr>
              <w:t>1、高新技术企业资质证书：得2分</w:t>
              <w:br/>
              <w:t>2、ISO认证：ISO9001/27001/20000/14001/45001/ITSS三级，每提供1个得1分，最高3分</w:t>
              <w:br/>
              <w:t>3、人员资质：PMP或高级职称证书，每人1分，最高5分</w:t>
              <w:br/>
              <w:t>（复印件加盖公章，原件备查）</w:t>
            </w:r>
          </w:p>
        </w:tc>
        <w:tc>
          <w:tcPr>
            <w:tcW w:type="dxa" w:w="-572"/>
            <w:tcW w:w="612360000" w:type="dxa"/>
            <w:tcW w:w="1701" w:type="dxa"/>
          </w:tcPr>
          <w:p>
            <w:r>
              <w:rPr>
                <w:rFonts w:ascii="宋体" w:hAnsi="宋体" w:eastAsia="宋体"/>
                <w:sz w:val="16"/>
              </w:rPr>
            </w:r>
          </w:p>
        </w:tc>
      </w:tr>
      <w:tr>
        <w:tc>
          <w:tcPr>
            <w:tcW w:type="dxa" w:w="-572"/>
            <w:tcW w:w="204120000" w:type="dxa"/>
            <w:tcW w:w="567" w:type="dxa"/>
          </w:tcPr>
          <w:p>
            <w:r>
              <w:rPr>
                <w:rFonts w:ascii="宋体" w:hAnsi="宋体" w:eastAsia="宋体"/>
                <w:sz w:val="16"/>
              </w:rPr>
              <w:t>3</w:t>
            </w:r>
          </w:p>
        </w:tc>
        <w:tc>
          <w:tcPr>
            <w:tcW w:type="dxa" w:w="-572"/>
            <w:tcW w:w="816480000" w:type="dxa"/>
            <w:tcW w:w="2268" w:type="dxa"/>
          </w:tcPr>
          <w:p>
            <w:r>
              <w:rPr>
                <w:rFonts w:ascii="宋体" w:hAnsi="宋体" w:eastAsia="宋体"/>
                <w:sz w:val="16"/>
              </w:rPr>
              <w:t>荣誉及业绩</w:t>
            </w:r>
          </w:p>
        </w:tc>
        <w:tc>
          <w:tcPr>
            <w:tcW w:type="dxa" w:w="-572"/>
            <w:tcW w:w="306180000" w:type="dxa"/>
            <w:tcW w:w="850" w:type="dxa"/>
          </w:tcPr>
          <w:p>
            <w:r>
              <w:rPr>
                <w:rFonts w:ascii="宋体" w:hAnsi="宋体" w:eastAsia="宋体"/>
                <w:sz w:val="16"/>
              </w:rPr>
              <w:t>6分</w:t>
            </w:r>
          </w:p>
        </w:tc>
        <w:tc>
          <w:tcPr>
            <w:tcW w:type="dxa" w:w="-572"/>
            <w:tcW w:w="1530900000" w:type="dxa"/>
            <w:tcW w:w="4252" w:type="dxa"/>
          </w:tcPr>
          <w:p>
            <w:r>
              <w:rPr>
                <w:rFonts w:ascii="宋体" w:hAnsi="宋体" w:eastAsia="宋体"/>
                <w:sz w:val="16"/>
              </w:rPr>
              <w:t>2018年1月1日后，合同金额1000万元以上的4E及以上机场货运生产信息化或地服保障生产信息化系统业绩，每个得3分，最高6分</w:t>
              <w:br/>
              <w:t>（合同复印件，原件备查）</w:t>
            </w:r>
          </w:p>
        </w:tc>
        <w:tc>
          <w:tcPr>
            <w:tcW w:type="dxa" w:w="-572"/>
            <w:tcW w:w="612360000" w:type="dxa"/>
            <w:tcW w:w="1701" w:type="dxa"/>
          </w:tcPr>
          <w:p>
            <w:r>
              <w:rPr>
                <w:rFonts w:ascii="宋体" w:hAnsi="宋体" w:eastAsia="宋体"/>
                <w:sz w:val="16"/>
              </w:rPr>
            </w:r>
          </w:p>
        </w:tc>
      </w:tr>
      <w:tr>
        <w:tc>
          <w:tcPr>
            <w:tcW w:type="dxa" w:w="-572"/>
            <w:tcW w:w="204120000" w:type="dxa"/>
            <w:tcW w:w="567" w:type="dxa"/>
          </w:tcPr>
          <w:p>
            <w:r>
              <w:rPr>
                <w:rFonts w:ascii="宋体" w:hAnsi="宋体" w:eastAsia="宋体"/>
                <w:sz w:val="16"/>
              </w:rPr>
              <w:t>4</w:t>
            </w:r>
          </w:p>
        </w:tc>
        <w:tc>
          <w:tcPr>
            <w:tcW w:type="dxa" w:w="-572"/>
            <w:tcW w:w="816480000" w:type="dxa"/>
            <w:tcW w:w="2268" w:type="dxa"/>
          </w:tcPr>
          <w:p>
            <w:r>
              <w:rPr>
                <w:rFonts w:ascii="宋体" w:hAnsi="宋体" w:eastAsia="宋体"/>
                <w:sz w:val="16"/>
              </w:rPr>
              <w:t>技术方案</w:t>
            </w:r>
          </w:p>
        </w:tc>
        <w:tc>
          <w:tcPr>
            <w:tcW w:type="dxa" w:w="-572"/>
            <w:tcW w:w="306180000" w:type="dxa"/>
            <w:tcW w:w="850" w:type="dxa"/>
          </w:tcPr>
          <w:p>
            <w:r>
              <w:rPr>
                <w:rFonts w:ascii="宋体" w:hAnsi="宋体" w:eastAsia="宋体"/>
                <w:sz w:val="16"/>
              </w:rPr>
              <w:t>11分</w:t>
            </w:r>
          </w:p>
        </w:tc>
        <w:tc>
          <w:tcPr>
            <w:tcW w:type="dxa" w:w="-572"/>
            <w:tcW w:w="1530900000" w:type="dxa"/>
            <w:tcW w:w="4252" w:type="dxa"/>
          </w:tcPr>
          <w:p>
            <w:r>
              <w:rPr>
                <w:rFonts w:ascii="宋体" w:hAnsi="宋体" w:eastAsia="宋体"/>
                <w:sz w:val="16"/>
              </w:rPr>
              <w:t>1、项目背景、需求理解、方案可行性：优秀3分，良好2分，一般1分</w:t>
              <w:br/>
              <w:t>2、对空侧内转、多点交运业务理解：优秀3分，良好2分，一般1分</w:t>
              <w:br/>
              <w:t>3、现场讲标答辩（多点交运，空侧内转，两场交互）：优秀5分，良好3分，一般1分</w:t>
            </w:r>
          </w:p>
        </w:tc>
        <w:tc>
          <w:tcPr>
            <w:tcW w:type="dxa" w:w="-572"/>
            <w:tcW w:w="612360000" w:type="dxa"/>
            <w:tcW w:w="1701" w:type="dxa"/>
          </w:tcPr>
          <w:p>
            <w:r>
              <w:rPr>
                <w:rFonts w:ascii="宋体" w:hAnsi="宋体" w:eastAsia="宋体"/>
                <w:sz w:val="16"/>
              </w:rPr>
            </w:r>
          </w:p>
        </w:tc>
      </w:tr>
      <w:tr>
        <w:tc>
          <w:tcPr>
            <w:tcW w:type="dxa" w:w="-572"/>
            <w:tcW w:w="204120000" w:type="dxa"/>
            <w:tcW w:w="567" w:type="dxa"/>
          </w:tcPr>
          <w:p>
            <w:r>
              <w:rPr>
                <w:rFonts w:ascii="宋体" w:hAnsi="宋体" w:eastAsia="宋体"/>
                <w:sz w:val="16"/>
              </w:rPr>
              <w:t>5</w:t>
            </w:r>
          </w:p>
        </w:tc>
        <w:tc>
          <w:tcPr>
            <w:tcW w:type="dxa" w:w="-572"/>
            <w:tcW w:w="816480000" w:type="dxa"/>
            <w:tcW w:w="2268" w:type="dxa"/>
          </w:tcPr>
          <w:p>
            <w:r>
              <w:rPr>
                <w:rFonts w:ascii="宋体" w:hAnsi="宋体" w:eastAsia="宋体"/>
                <w:sz w:val="16"/>
              </w:rPr>
              <w:t>响应文件规范性</w:t>
            </w:r>
          </w:p>
        </w:tc>
        <w:tc>
          <w:tcPr>
            <w:tcW w:type="dxa" w:w="-572"/>
            <w:tcW w:w="306180000" w:type="dxa"/>
            <w:tcW w:w="850" w:type="dxa"/>
          </w:tcPr>
          <w:p>
            <w:r>
              <w:rPr>
                <w:rFonts w:ascii="宋体" w:hAnsi="宋体" w:eastAsia="宋体"/>
                <w:sz w:val="16"/>
              </w:rPr>
              <w:t>1分</w:t>
            </w:r>
          </w:p>
        </w:tc>
        <w:tc>
          <w:tcPr>
            <w:tcW w:type="dxa" w:w="-572"/>
            <w:tcW w:w="1530900000" w:type="dxa"/>
            <w:tcW w:w="4252" w:type="dxa"/>
          </w:tcPr>
          <w:p>
            <w:r>
              <w:rPr>
                <w:rFonts w:ascii="宋体" w:hAnsi="宋体" w:eastAsia="宋体"/>
                <w:sz w:val="16"/>
              </w:rPr>
              <w:t>1、逐页编页码；2、页码在下方；3、分册每册独立编页码</w:t>
              <w:br/>
              <w:t>无偏差得1分，每项偏差扣0.5分</w:t>
            </w:r>
          </w:p>
        </w:tc>
        <w:tc>
          <w:tcPr>
            <w:tcW w:type="dxa" w:w="-572"/>
            <w:tcW w:w="612360000" w:type="dxa"/>
            <w:tcW w:w="1701" w:type="dxa"/>
          </w:tcPr>
          <w:p>
            <w:r>
              <w:rPr>
                <w:rFonts w:ascii="宋体" w:hAnsi="宋体" w:eastAsia="宋体"/>
                <w:sz w:val="16"/>
              </w:rPr>
            </w:r>
          </w:p>
        </w:tc>
      </w:tr>
      <w:tr>
        <w:tc>
          <w:tcPr>
            <w:tcW w:type="dxa" w:w="-572"/>
            <w:tcW w:w="204120000" w:type="dxa"/>
            <w:tcW w:w="567" w:type="dxa"/>
          </w:tcPr>
          <w:p>
            <w:r>
              <w:rPr>
                <w:rFonts w:ascii="宋体" w:hAnsi="宋体" w:eastAsia="宋体"/>
                <w:sz w:val="16"/>
              </w:rPr>
              <w:t>6</w:t>
            </w:r>
          </w:p>
        </w:tc>
        <w:tc>
          <w:tcPr>
            <w:tcW w:type="dxa" w:w="-572"/>
            <w:tcW w:w="816480000" w:type="dxa"/>
            <w:tcW w:w="2268" w:type="dxa"/>
          </w:tcPr>
          <w:p>
            <w:r>
              <w:rPr>
                <w:rFonts w:ascii="宋体" w:hAnsi="宋体" w:eastAsia="宋体"/>
                <w:sz w:val="16"/>
              </w:rPr>
              <w:t>免费质保</w:t>
            </w:r>
          </w:p>
        </w:tc>
        <w:tc>
          <w:tcPr>
            <w:tcW w:type="dxa" w:w="-572"/>
            <w:tcW w:w="306180000" w:type="dxa"/>
            <w:tcW w:w="850" w:type="dxa"/>
          </w:tcPr>
          <w:p>
            <w:r>
              <w:rPr>
                <w:rFonts w:ascii="宋体" w:hAnsi="宋体" w:eastAsia="宋体"/>
                <w:sz w:val="16"/>
              </w:rPr>
              <w:t>2分</w:t>
            </w:r>
          </w:p>
        </w:tc>
        <w:tc>
          <w:tcPr>
            <w:tcW w:type="dxa" w:w="-572"/>
            <w:tcW w:w="1530900000" w:type="dxa"/>
            <w:tcW w:w="4252" w:type="dxa"/>
          </w:tcPr>
          <w:p>
            <w:r>
              <w:rPr>
                <w:rFonts w:ascii="宋体" w:hAnsi="宋体" w:eastAsia="宋体"/>
                <w:sz w:val="16"/>
              </w:rPr>
              <w:t>每多承诺1年得1分，最高2分，不承诺不得分</w:t>
            </w:r>
          </w:p>
        </w:tc>
        <w:tc>
          <w:tcPr>
            <w:tcW w:type="dxa" w:w="-572"/>
            <w:tcW w:w="612360000" w:type="dxa"/>
            <w:tcW w:w="1701" w:type="dxa"/>
          </w:tcPr>
          <w:p>
            <w:r>
              <w:rPr>
                <w:rFonts w:ascii="宋体" w:hAnsi="宋体" w:eastAsia="宋体"/>
                <w:sz w:val="16"/>
              </w:rPr>
            </w:r>
          </w:p>
        </w:tc>
      </w:tr>
    </w:tbl>
    <w:p/>
    <w:p/>
    <w:p>
      <w:r>
        <w:rPr>
          <w:rFonts w:ascii="宋体" w:hAnsi="宋体" w:eastAsia="宋体"/>
          <w:sz w:val="22"/>
        </w:rPr>
        <w:t>需求部门：货运事业部</w:t>
      </w:r>
    </w:p>
    <w:p>
      <w:r>
        <w:rPr>
          <w:rFonts w:ascii="宋体" w:hAnsi="宋体" w:eastAsia="宋体"/>
          <w:sz w:val="22"/>
        </w:rPr>
        <w:t>文档版本：V1.0</w:t>
      </w:r>
    </w:p>
    <w:p>
      <w:r>
        <w:rPr>
          <w:rFonts w:ascii="宋体" w:hAnsi="宋体" w:eastAsia="宋体"/>
          <w:sz w:val="22"/>
        </w:rPr>
        <w:t>编制日期：2026年5月20日</w:t>
      </w:r>
    </w:p>
    <w:sectPr w:rsidR="00FC693F" w:rsidRPr="0006063C" w:rsidSect="00034616">
      <w:pgSz w:w="19" w:h="27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