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天府货运系统替换实施方案</w:t>
      </w:r>
    </w:p>
    <w:p>
      <w:pPr>
        <w:jc w:val="center"/>
      </w:pPr>
      <w:r>
        <w:rPr>
          <w:rFonts w:ascii="微软雅黑" w:hAnsi="微软雅黑" w:eastAsia="微软雅黑"/>
          <w:b/>
          <w:sz w:val="36"/>
        </w:rPr>
        <w:t>系统切换方案</w:t>
      </w:r>
    </w:p>
    <w:p>
      <w:pPr>
        <w:jc w:val="center"/>
      </w:pPr>
      <w:r>
        <w:rPr>
          <w:rFonts w:ascii="微软雅黑" w:hAnsi="微软雅黑" w:eastAsia="微软雅黑"/>
          <w:sz w:val="24"/>
        </w:rPr>
        <w:t>编制日期：2026年7月</w:t>
      </w:r>
    </w:p>
    <w:p>
      <w:r>
        <w:br w:type="page"/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一、编写目的</w:t>
      </w:r>
    </w:p>
    <w:p>
      <w:r>
        <w:rPr>
          <w:rFonts w:ascii="微软雅黑" w:hAnsi="微软雅黑" w:eastAsia="微软雅黑"/>
          <w:sz w:val="24"/>
        </w:rPr>
        <w:t>本方案用于指导天府货运系统替换工作，通过新智慧货运系统替代原有货运系统。方案列出三种切换策略供使用单位选择，详细说明各策略的优缺点，并制定完善的应急措施，确保系统切换过程中业务连续性。现行有效的应急措施为转线下人工作业，同时原系统保持运行状态，作为新系统的应急回退保障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二、项目背景</w:t>
      </w:r>
    </w:p>
    <w:p>
      <w:r>
        <w:rPr>
          <w:rFonts w:ascii="微软雅黑" w:hAnsi="微软雅黑" w:eastAsia="微软雅黑"/>
          <w:sz w:val="24"/>
        </w:rPr>
        <w:t>天府机场天府货站原有货运系统已运行多年，为适应业务发展和技术升级需求，现计划采用新的智慧货运系统替代原有系统。新智慧货运系统已完成以下对接工作：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对接系统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对接状态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对接内容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一站式服务平台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✓ 已完成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出港业务数据、线上备案数据、业务状态数据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天府查验库管系统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✓ 已完成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查验预约信息、查验结果登记、货物入库交接单、货物出库交接单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天府货邮安检系统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✓ 已完成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安检业务数据、安检结果数据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航空货物邮件地面驳运系统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✓ 已完成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驳运业务数据、驳运状态数据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原货运系统所有第三方接口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✓ 已完成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所有第三方系统接口的对接和迁移</w:t>
            </w:r>
          </w:p>
        </w:tc>
      </w:tr>
    </w:tbl>
    <w:p>
      <w:r>
        <w:rPr>
          <w:rFonts w:ascii="微软雅黑" w:hAnsi="微软雅黑" w:eastAsia="微软雅黑"/>
          <w:sz w:val="24"/>
        </w:rPr>
        <w:t>新系统将建立全新的基础数据，与原系统数据不互通。为保证切换顺利，需要在试运行阶段充分验证所有功能和流程。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三、系统切换策略</w:t>
      </w:r>
    </w:p>
    <w:p>
      <w:r>
        <w:rPr>
          <w:rFonts w:ascii="微软雅黑" w:hAnsi="微软雅黑" w:eastAsia="微软雅黑"/>
          <w:sz w:val="24"/>
        </w:rPr>
        <w:t>本方案列出三种切换策略供使用单位选择，各策略的优缺点如下：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切换策略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优点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缺点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适用场景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直接切换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一次性完成切换，成本低，无需双系统并行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需要充分验证，确保新系统稳定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试运行充分验证，新系统稳定可靠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渐进式切换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逐步替换功能模块，风险可控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新旧系统交互复杂，需要数据同步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功能模块独立，可以分批次切换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并行式切换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新旧系统并行运行，验证充分，可随时回滚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数据无法同步，双倍操作负担，数据重复风险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新旧系统数据可以同步，操作负担可接受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3.1 使用单位需根据实际情况选择切换策略</w:t>
      </w:r>
    </w:p>
    <w:p>
      <w:r>
        <w:rPr>
          <w:rFonts w:ascii="微软雅黑" w:hAnsi="微软雅黑" w:eastAsia="微软雅黑"/>
          <w:sz w:val="22"/>
        </w:rPr>
        <w:t>• 如果试运行验证充分，新系统稳定可靠，建议选择直接切换；</w:t>
      </w:r>
    </w:p>
    <w:p>
      <w:r>
        <w:rPr>
          <w:rFonts w:ascii="微软雅黑" w:hAnsi="微软雅黑" w:eastAsia="微软雅黑"/>
          <w:sz w:val="22"/>
        </w:rPr>
        <w:t>• 如果功能模块独立，可以分批次切换，建议选择渐进式切换；</w:t>
      </w:r>
    </w:p>
    <w:p>
      <w:r>
        <w:rPr>
          <w:rFonts w:ascii="微软雅黑" w:hAnsi="微软雅黑" w:eastAsia="微软雅黑"/>
          <w:sz w:val="22"/>
        </w:rPr>
        <w:t>• 如果新旧系统数据可以同步，操作负担可接受，建议选择并行式切换。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四、系统上线整体规划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阶段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时间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状态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主要内容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第一阶段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2026年6月1日 - 2026年7月9日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已完成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系统对接验证和第三方接口测试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第二阶段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2026年7月10日 - 2026年9月30日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进行中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新系统试运行（3个月）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第三阶段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2026年10月11日 - 2026年10月12日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待执行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系统切换（根据选择的策略执行）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第四阶段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2026年10月13日 - 2026年10月20日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待执行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系统稳定期观察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五、功能验证与测试（已完成）</w:t>
      </w:r>
    </w:p>
    <w:p>
      <w:r>
        <w:rPr>
          <w:rFonts w:ascii="微软雅黑" w:hAnsi="微软雅黑" w:eastAsia="微软雅黑"/>
          <w:b/>
          <w:sz w:val="22"/>
        </w:rPr>
        <w:t>验证时间：2026年6月1日 - 2026年7月9日</w:t>
      </w:r>
    </w:p>
    <w:p>
      <w:r>
        <w:rPr>
          <w:rFonts w:ascii="微软雅黑" w:hAnsi="微软雅黑" w:eastAsia="微软雅黑"/>
          <w:sz w:val="22"/>
        </w:rPr>
        <w:t>验证结果：所有功能模块和第三方接口均已通过验证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5.1 系统对接验证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对接系统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一站式服务平台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出港业务数据交互、线上备案数据交互、业务状态数据交互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2026-06-10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天府查验库管系统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查验预约信息交互、查验结果登记交互、货物交接单交互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2026-06-12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天府货邮安检系统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安检业务数据交互、安检结果数据交互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2026-06-14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航空货物邮件地面驳运系统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驳运业务数据交互、驳运状态数据交互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2026-06-16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5.2 第三方接口验证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第三方系统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接口内容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数据验证标准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验证结果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航空物流电子信息平台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航空货运电报、海关新舱单报文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本站电报对方能接收，前站电报本站能接收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双流国际机场货物补贴管理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补贴申请数据、补贴审批数据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能够正常发送补贴申请，接收审批结果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海关系统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海关查验指令、海关放行指令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指令接收准确及时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航空公司系统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航班信息、舱单信息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数据同步准确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✓ 通过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六、新系统试运行方案</w:t>
      </w:r>
    </w:p>
    <w:p>
      <w:r>
        <w:rPr>
          <w:rFonts w:ascii="微软雅黑" w:hAnsi="微软雅黑" w:eastAsia="微软雅黑"/>
          <w:b/>
          <w:sz w:val="24"/>
        </w:rPr>
        <w:t>6.1 试运行时间：2026年7月10日 - 2026年9月30日（3个月）</w:t>
      </w:r>
    </w:p>
    <w:p>
      <w:r>
        <w:rPr>
          <w:rFonts w:ascii="微软雅黑" w:hAnsi="微软雅黑" w:eastAsia="微软雅黑"/>
          <w:b/>
          <w:sz w:val="24"/>
        </w:rPr>
        <w:t>6.2 试运行原则</w:t>
      </w:r>
    </w:p>
    <w:p>
      <w:r>
        <w:rPr>
          <w:rFonts w:ascii="微软雅黑" w:hAnsi="微软雅黑" w:eastAsia="微软雅黑"/>
          <w:sz w:val="22"/>
        </w:rPr>
        <w:t>• 新系统独立运行，不与原系统交互</w:t>
      </w:r>
    </w:p>
    <w:p>
      <w:r>
        <w:rPr>
          <w:rFonts w:ascii="微软雅黑" w:hAnsi="微软雅黑" w:eastAsia="微软雅黑"/>
          <w:sz w:val="22"/>
        </w:rPr>
        <w:t>• 使用模拟数据或真实业务数据（不影响原系统）进行测试</w:t>
      </w:r>
    </w:p>
    <w:p>
      <w:r>
        <w:rPr>
          <w:rFonts w:ascii="微软雅黑" w:hAnsi="微软雅黑" w:eastAsia="微软雅黑"/>
          <w:sz w:val="22"/>
        </w:rPr>
        <w:t>• 充分验证所有功能模块和业务流程</w:t>
      </w:r>
    </w:p>
    <w:p>
      <w:r>
        <w:rPr>
          <w:rFonts w:ascii="微软雅黑" w:hAnsi="微软雅黑" w:eastAsia="微软雅黑"/>
          <w:sz w:val="22"/>
        </w:rPr>
        <w:t>• 验证第三方系统接口的稳定性和准确性</w:t>
      </w:r>
    </w:p>
    <w:p>
      <w:r>
        <w:rPr>
          <w:rFonts w:ascii="微软雅黑" w:hAnsi="微软雅黑" w:eastAsia="微软雅黑"/>
          <w:sz w:val="22"/>
        </w:rPr>
        <w:t>• 验证系统性能和稳定性</w:t>
      </w:r>
    </w:p>
    <w:p>
      <w:r>
        <w:rPr>
          <w:rFonts w:ascii="微软雅黑" w:hAnsi="微软雅黑" w:eastAsia="微软雅黑"/>
          <w:sz w:val="22"/>
        </w:rPr>
        <w:t>• 每日记录试运行情况，发现问题及时处理</w:t>
      </w:r>
    </w:p>
    <w:p>
      <w:r>
        <w:rPr>
          <w:rFonts w:ascii="微软雅黑" w:hAnsi="微软雅黑" w:eastAsia="微软雅黑"/>
          <w:b/>
          <w:sz w:val="24"/>
        </w:rPr>
        <w:t>6.3 试运行工作安排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工作项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具体内容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频率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验证所有功能模块的正确性（出港业务、入库业务、出库业务、报表查询）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流程验证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验证完整业务流程的正确性（运单录入→货物入库→货物出库→第三方交互）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验证新系统对接第三方系统的准确性和稳定性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性能监控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监控系统响应时间、并发处理能力、资源使用率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错误日志分析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分析系统错误日志，排查问题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每日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用户操作验证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现场员工操作新系统，验证操作流程的合理性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用户培训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培训现场员工使用新系统界面和功能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每周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应急预案演练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演练应急预案，确保人员熟悉应急流程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每月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6.4 试运行评估（10月初）</w:t>
      </w:r>
    </w:p>
    <w:p>
      <w:r>
        <w:rPr>
          <w:rFonts w:ascii="微软雅黑" w:hAnsi="微软雅黑" w:eastAsia="微软雅黑"/>
          <w:sz w:val="22"/>
        </w:rPr>
        <w:t>1. 汇总3个月试运行期间全部数据记录；</w:t>
      </w:r>
    </w:p>
    <w:p>
      <w:r>
        <w:rPr>
          <w:rFonts w:ascii="微软雅黑" w:hAnsi="微软雅黑" w:eastAsia="微软雅黑"/>
          <w:sz w:val="22"/>
        </w:rPr>
        <w:t>2. 编制《试运行评估报告》；</w:t>
      </w:r>
    </w:p>
    <w:p>
      <w:r>
        <w:rPr>
          <w:rFonts w:ascii="微软雅黑" w:hAnsi="微软雅黑" w:eastAsia="微软雅黑"/>
          <w:sz w:val="22"/>
        </w:rPr>
        <w:t>3. 确认是否具备系统切换条件；</w:t>
      </w:r>
    </w:p>
    <w:p>
      <w:r>
        <w:rPr>
          <w:rFonts w:ascii="微软雅黑" w:hAnsi="微软雅黑" w:eastAsia="微软雅黑"/>
          <w:sz w:val="22"/>
        </w:rPr>
        <w:t>4. 使用单位根据试运行结果选择切换策略。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七、系统切换方案</w:t>
      </w:r>
    </w:p>
    <w:p>
      <w:r>
        <w:rPr>
          <w:rFonts w:ascii="微软雅黑" w:hAnsi="微软雅黑" w:eastAsia="微软雅黑"/>
          <w:b/>
          <w:sz w:val="24"/>
        </w:rPr>
        <w:t>7.1 切换条件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条件项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判断标准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状态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所有功能模块验证通过率 100%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流程完整性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所有业务流程验证通过率 100%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连续7天系统可用率 ≥99.9%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所有第三方接口成功率 ≥99.5%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性能指标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系统响应时间 ≤3秒，并发处理能力满足需求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用户培训完成度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所有现场员工培训完成并通过考核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应急预案演练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至少完成2次应急预案演练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待验证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7.2 切换条件达成后，使用单位选择切换策略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7.3 直接切换方案（如果使用单位选择）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步骤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时间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操作内容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责任方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预期结果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步骤1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00:00-02:00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停止原系统应用服务，原系统进入维护状态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原系统进入维护状态（保持运行，对外不提供服务）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步骤2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02:00-04:00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启动新系统应用服务，验证系统启动正常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新系统启动正常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步骤3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04:00-06:00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切换DNS，将原系统域名指向新系统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域名切换完成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步骤4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06:00-08:00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验证系统访问，确保新系统正常对外提供服务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系统访问正常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步骤5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08:00-12:00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监控新系统运行，收集用户反馈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运维团队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系统运行稳定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步骤6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12:00-18:00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现场员工使用新系统办理业务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业务团队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业务办理正常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步骤7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10月11日 18:00-20:00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验证第三方系统接口，确保数据交互正常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接口交互正常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步骤8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10月12日 00:00-08:00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原系统下线，原系统数据归档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原系统下线完成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步骤9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10月12日 08:00-12:00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切换后验证，确认新系统运行稳定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新系统运行稳定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步骤10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10月12日 12:00-20:00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编写《系统切换报告》，总结切换过程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项目组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报告编写完成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7.4 渐进式切换方案（如果使用单位选择）</w:t>
      </w:r>
    </w:p>
    <w:p>
      <w:r>
        <w:rPr>
          <w:rFonts w:ascii="微软雅黑" w:hAnsi="微软雅黑" w:eastAsia="微软雅黑"/>
          <w:sz w:val="22"/>
        </w:rPr>
        <w:t>渐进式切换需要根据功能模块独立情况进行分批次切换，具体切换计划由使用单位根据实际情况制定。</w:t>
      </w:r>
    </w:p>
    <w:p>
      <w:pPr>
        <w:jc w:val="left"/>
      </w:pPr>
      <w:r>
        <w:rPr>
          <w:rFonts w:ascii="微软雅黑" w:hAnsi="微软雅黑" w:eastAsia="微软雅黑"/>
          <w:b/>
          <w:color w:val="663399"/>
          <w:sz w:val="28"/>
        </w:rPr>
        <w:t>7.5 并行式切换方案（如果使用单位选择）</w:t>
      </w:r>
    </w:p>
    <w:p>
      <w:r>
        <w:rPr>
          <w:rFonts w:ascii="微软雅黑" w:hAnsi="微软雅黑" w:eastAsia="微软雅黑"/>
          <w:sz w:val="22"/>
        </w:rPr>
        <w:t>并行式切换需要新旧系统数据同步和双系统并行运行，具体切换计划由使用单位根据实际情况制定。注意：如果新旧系统数据无法同步，不建议采用并行式切换。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八、应急措施</w:t>
      </w:r>
    </w:p>
    <w:p>
      <w:r>
        <w:rPr>
          <w:rFonts w:ascii="微软雅黑" w:hAnsi="微软雅黑" w:eastAsia="微软雅黑"/>
          <w:b/>
          <w:sz w:val="24"/>
        </w:rPr>
        <w:t>8.1 应急触发条件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触发条件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判断标准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响应时间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系统无法访问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新系统连续10分钟无法访问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立即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数据异常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发现数据丢失或数据损坏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立即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业务异常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新系统业务功能异常率 &gt;10%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1小时内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性能严重下降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系统响应时间 &gt;10秒，持续30分钟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30分钟内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第三方接口异常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第三方接口连续失败率 &gt;20%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30分钟内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用户无法操作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超过50%用户无法正常使用系统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立即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8.2 应急措施（原系统保持运行状态）</w:t>
      </w:r>
    </w:p>
    <w:p>
      <w:r>
        <w:rPr>
          <w:rFonts w:ascii="微软雅黑" w:hAnsi="微软雅黑" w:eastAsia="微软雅黑"/>
          <w:sz w:val="22"/>
        </w:rPr>
        <w:t>原系统在切换时进入维护状态（保持运行，对外不提供服务），作为新系统的应急回退保障。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应急等级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应急措施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具体内容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责任方</w:t>
            </w:r>
          </w:p>
        </w:tc>
        <w:tc>
          <w:tcPr>
            <w:tcW w:type="dxa" w:w="1728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恢复时间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一级应急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转线下人工作业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新系统无法使用时，立即转线下人工作业，确保业务连续性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业务团队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立即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二级应急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切回原系统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新系统出现无法使用故障，经技术团队评估，无法在30分钟内恢复时，将DNS切回原系统，原系统恢复对外服务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30分钟内</w:t>
            </w:r>
          </w:p>
        </w:tc>
      </w:tr>
      <w:tr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三级应急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系统修复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排查问题，修复新系统故障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1728"/>
          </w:tcPr>
          <w:p>
            <w:r>
              <w:rPr>
                <w:rFonts w:ascii="微软雅黑" w:hAnsi="微软雅黑" w:eastAsia="微软雅黑"/>
                <w:sz w:val="20"/>
              </w:rPr>
              <w:t>待定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8.3 切回原系统操作步骤（二级应急）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步骤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操作内容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责任方</w:t>
            </w:r>
          </w:p>
        </w:tc>
        <w:tc>
          <w:tcPr>
            <w:tcW w:type="dxa" w:w="21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预期时间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步骤1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发现异常，立即通知项目负责人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现场员工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立即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步骤2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项目负责人判断应急等级，启动应急响应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项目负责人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5分钟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步骤3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技术团队评估新系统故障，判断能否在30分钟内恢复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10分钟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步骤4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如果无法在30分钟内恢复，启动切回原系统流程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项目负责人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5分钟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步骤5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切换DNS，将域名切回原系统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5分钟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步骤6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原系统恢复对外服务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5分钟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步骤7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验证原系统功能，确认业务恢复正常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10分钟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步骤8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新系统进入维护状态，排查故障原因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技术团队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待定</w:t>
            </w:r>
          </w:p>
        </w:tc>
      </w:tr>
      <w:tr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步骤9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故障修复后，重新评估切换时间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项目组</w:t>
            </w:r>
          </w:p>
        </w:tc>
        <w:tc>
          <w:tcPr>
            <w:tcW w:type="dxa" w:w="2160"/>
          </w:tcPr>
          <w:p>
            <w:r>
              <w:rPr>
                <w:rFonts w:ascii="微软雅黑" w:hAnsi="微软雅黑" w:eastAsia="微软雅黑"/>
                <w:sz w:val="20"/>
              </w:rPr>
              <w:t>待定</w:t>
            </w:r>
          </w:p>
        </w:tc>
      </w:tr>
    </w:tbl>
    <w:p>
      <w:r>
        <w:rPr>
          <w:rFonts w:ascii="微软雅黑" w:hAnsi="微软雅黑" w:eastAsia="微软雅黑"/>
          <w:b/>
          <w:sz w:val="24"/>
        </w:rPr>
        <w:t>8.4 应急预案演练</w:t>
      </w:r>
    </w:p>
    <w:p>
      <w:r>
        <w:rPr>
          <w:rFonts w:ascii="微软雅黑" w:hAnsi="微软雅黑" w:eastAsia="微软雅黑"/>
          <w:sz w:val="22"/>
        </w:rPr>
        <w:t>试运行期间至少完成2次应急预案演练，确保所有人员熟悉应急流程。演练内容包括：</w:t>
      </w:r>
    </w:p>
    <w:p>
      <w:r>
        <w:rPr>
          <w:rFonts w:ascii="微软雅黑" w:hAnsi="微软雅黑" w:eastAsia="微软雅黑"/>
          <w:sz w:val="20"/>
        </w:rPr>
        <w:t>• 演练转线下人工作业的应急响应流程</w:t>
      </w:r>
    </w:p>
    <w:p>
      <w:r>
        <w:rPr>
          <w:rFonts w:ascii="微软雅黑" w:hAnsi="微软雅黑" w:eastAsia="微软雅黑"/>
          <w:sz w:val="20"/>
        </w:rPr>
        <w:t>• 演练切回原系统的应急响应流程</w:t>
      </w:r>
    </w:p>
    <w:p>
      <w:r>
        <w:rPr>
          <w:rFonts w:ascii="微软雅黑" w:hAnsi="微软雅黑" w:eastAsia="微软雅黑"/>
          <w:sz w:val="20"/>
        </w:rPr>
        <w:t>• 演练系统故障排查和修复流程</w:t>
      </w:r>
    </w:p>
    <w:p>
      <w:r>
        <w:rPr>
          <w:rFonts w:ascii="微软雅黑" w:hAnsi="微软雅黑" w:eastAsia="微软雅黑"/>
          <w:sz w:val="20"/>
        </w:rPr>
        <w:t>• 演练应急通知和信息上报流程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九、系统切换验收验证标准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验证类别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验证指标</w:t>
            </w:r>
          </w:p>
        </w:tc>
        <w:tc>
          <w:tcPr>
            <w:tcW w:type="dxa" w:w="28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合格标准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功能完整性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业务流程成功率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功能模块验证通过率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100%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系统可用率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≥99.9%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系统故障恢复时间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≤30分钟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日均故障次数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≤0.5次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第三方接口稳定性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第三方接口成功率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≥99.5%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接口响应时间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≤5秒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性能指标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系统响应时间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≤3秒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并发处理能力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满足业务峰值需求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用户满意度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≥4分（5分制）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用户操作错误率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≤5%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应急能力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应急预案演练次数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≥2次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应急响应时间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≤30分钟</w:t>
            </w:r>
          </w:p>
        </w:tc>
      </w:tr>
      <w:tr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切回原系统演练次数</w:t>
            </w:r>
          </w:p>
        </w:tc>
        <w:tc>
          <w:tcPr>
            <w:tcW w:type="dxa" w:w="2880"/>
          </w:tcPr>
          <w:p>
            <w:r>
              <w:rPr>
                <w:rFonts w:ascii="微软雅黑" w:hAnsi="微软雅黑" w:eastAsia="微软雅黑"/>
                <w:sz w:val="20"/>
              </w:rPr>
              <w:t>≥1次</w:t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十、新系统试运行验证记录表单</w:t>
      </w:r>
    </w:p>
    <w:p>
      <w:r>
        <w:rPr>
          <w:rFonts w:ascii="微软雅黑" w:hAnsi="微软雅黑" w:eastAsia="微软雅黑"/>
          <w:b/>
          <w:sz w:val="22"/>
        </w:rPr>
        <w:t>附件一：功能验证记录（每日）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验证模块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验证用例数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通过数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失败用例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失败原因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验证人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验证模块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验证用例数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通过数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失败用例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失败原因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验证人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附件二：流程验证记录（每日）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验证流程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流程步骤数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成功数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失败步骤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失败原因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验证人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验证流程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流程步骤数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成功数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失败步骤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失败原因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验证人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附件三：第三方接口验证记录（每日）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第三方系统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接口名称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调用次数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成功次数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失败次数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失败原因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96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验证人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验证日期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第三方系统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接口名称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调用次数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成功次数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失败次数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失败原因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  <w:t>验证人</w:t>
            </w:r>
          </w:p>
        </w:tc>
      </w:tr>
      <w:tr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96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r>
        <w:rPr>
          <w:rFonts w:ascii="微软雅黑" w:hAnsi="微软雅黑" w:eastAsia="微软雅黑"/>
          <w:b/>
          <w:sz w:val="22"/>
        </w:rPr>
        <w:t>附件四：系统运行检查单（每日）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检查日期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检查人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系统状态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响应时间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并发处理能力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异常描述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处理措施</w:t>
            </w:r>
          </w:p>
        </w:tc>
        <w:tc>
          <w:tcPr>
            <w:tcW w:type="dxa" w:w="1080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20"/>
              </w:rPr>
              <w:t>确认人</w:t>
            </w:r>
          </w:p>
        </w:tc>
      </w:tr>
      <w:tr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检查日期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检查人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系统状态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响应时间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并发处理能力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异常描述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处理措施</w:t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  <w:t>确认人</w:t>
            </w:r>
          </w:p>
        </w:tc>
      </w:tr>
      <w:tr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  <w:tc>
          <w:tcPr>
            <w:tcW w:type="dxa" w:w="1080"/>
          </w:tcPr>
          <w:p>
            <w:r>
              <w:rPr>
                <w:rFonts w:ascii="微软雅黑" w:hAnsi="微软雅黑" w:eastAsia="微软雅黑"/>
                <w:sz w:val="20"/>
              </w:rPr>
            </w:r>
          </w:p>
        </w:tc>
      </w:tr>
    </w:tbl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十一、功能培训说明</w:t>
      </w:r>
    </w:p>
    <w:p>
      <w:r>
        <w:rPr>
          <w:rFonts w:ascii="微软雅黑" w:hAnsi="微软雅黑" w:eastAsia="微软雅黑"/>
          <w:sz w:val="22"/>
        </w:rPr>
        <w:t>已完成功能培训：</w:t>
      </w:r>
    </w:p>
    <w:p>
      <w:r>
        <w:rPr>
          <w:rFonts w:ascii="微软雅黑" w:hAnsi="微软雅黑" w:eastAsia="微软雅黑"/>
          <w:sz w:val="20"/>
        </w:rPr>
        <w:t>• 新智慧货运系统操作培训（出港业务、入库业务、出库业务、报表查询）</w:t>
      </w:r>
    </w:p>
    <w:p>
      <w:r>
        <w:rPr>
          <w:rFonts w:ascii="微软雅黑" w:hAnsi="微软雅黑" w:eastAsia="微软雅黑"/>
          <w:sz w:val="20"/>
        </w:rPr>
        <w:t>• 系统界面培训（新系统界面布局、功能入口、操作流程）</w:t>
      </w:r>
    </w:p>
    <w:p>
      <w:r>
        <w:rPr>
          <w:rFonts w:ascii="微软雅黑" w:hAnsi="微软雅黑" w:eastAsia="微软雅黑"/>
          <w:sz w:val="20"/>
        </w:rPr>
        <w:t>• 应急预案培训（应急响应流程、转线下人工作业流程、切回原系统流程）</w:t>
      </w:r>
    </w:p>
    <w:p>
      <w:r>
        <w:rPr>
          <w:rFonts w:ascii="微软雅黑" w:hAnsi="微软雅黑" w:eastAsia="微软雅黑"/>
          <w:sz w:val="20"/>
        </w:rPr>
        <w:t>• 第三方系统对接培训（一站式平台、查验库管、安检系统、驳运系统）</w:t>
      </w:r>
    </w:p>
    <w:p>
      <w:pPr>
        <w:jc w:val="left"/>
      </w:pPr>
      <w:r>
        <w:rPr>
          <w:rFonts w:ascii="微软雅黑" w:hAnsi="微软雅黑" w:eastAsia="微软雅黑"/>
          <w:b/>
          <w:color w:val="333399"/>
          <w:sz w:val="32"/>
        </w:rPr>
        <w:t>十二、新系统试运行总结与报告</w:t>
      </w:r>
    </w:p>
    <w:p>
      <w:r>
        <w:rPr>
          <w:rFonts w:ascii="微软雅黑" w:hAnsi="微软雅黑" w:eastAsia="微软雅黑"/>
          <w:sz w:val="22"/>
        </w:rPr>
        <w:t>新系统试运行结束前（10月初），编写《新系统试运行评估报告》，内容包括：</w:t>
      </w:r>
    </w:p>
    <w:p>
      <w:r>
        <w:rPr>
          <w:rFonts w:ascii="微软雅黑" w:hAnsi="微软雅黑" w:eastAsia="微软雅黑"/>
          <w:sz w:val="22"/>
        </w:rPr>
        <w:t>1. 试运行总体情况概述（3个月业务量、功能验证通过率、系统稳定性）；</w:t>
      </w:r>
    </w:p>
    <w:p>
      <w:r>
        <w:rPr>
          <w:rFonts w:ascii="微软雅黑" w:hAnsi="微软雅黑" w:eastAsia="微软雅黑"/>
          <w:sz w:val="22"/>
        </w:rPr>
        <w:t>2. 功能验证评估（各功能模块验证通过率、业务流程成功率）；</w:t>
      </w:r>
    </w:p>
    <w:p>
      <w:r>
        <w:rPr>
          <w:rFonts w:ascii="微软雅黑" w:hAnsi="微软雅黑" w:eastAsia="微软雅黑"/>
          <w:sz w:val="22"/>
        </w:rPr>
        <w:t>3. 第三方接口评估（各第三方系统接口成功率、接口响应时间）；</w:t>
      </w:r>
    </w:p>
    <w:p>
      <w:r>
        <w:rPr>
          <w:rFonts w:ascii="微软雅黑" w:hAnsi="微软雅黑" w:eastAsia="微软雅黑"/>
          <w:sz w:val="22"/>
        </w:rPr>
        <w:t>4. 性能评估（系统响应时间、并发处理能力、资源使用率）；</w:t>
      </w:r>
    </w:p>
    <w:p>
      <w:r>
        <w:rPr>
          <w:rFonts w:ascii="微软雅黑" w:hAnsi="微软雅黑" w:eastAsia="微软雅黑"/>
          <w:sz w:val="22"/>
        </w:rPr>
        <w:t>5. 用户培训评估（用户培训完成度、用户操作熟练度、用户满意度）；</w:t>
      </w:r>
    </w:p>
    <w:p>
      <w:r>
        <w:rPr>
          <w:rFonts w:ascii="微软雅黑" w:hAnsi="微软雅黑" w:eastAsia="微软雅黑"/>
          <w:sz w:val="22"/>
        </w:rPr>
        <w:t>6. 应急预案评估（应急预案演练次数、演练成功率、演练时间、切回原系统演练次数）；</w:t>
      </w:r>
    </w:p>
    <w:p>
      <w:r>
        <w:rPr>
          <w:rFonts w:ascii="微软雅黑" w:hAnsi="微软雅黑" w:eastAsia="微软雅黑"/>
          <w:sz w:val="22"/>
        </w:rPr>
        <w:t>7. 问题记录与处理情况（试运行期间发现的问题及处理结果）；</w:t>
      </w:r>
    </w:p>
    <w:p>
      <w:r>
        <w:rPr>
          <w:rFonts w:ascii="微软雅黑" w:hAnsi="微软雅黑" w:eastAsia="微软雅黑"/>
          <w:sz w:val="22"/>
        </w:rPr>
        <w:t>8. 应急能力评估（应急响应时间、应急措施有效性、切回原系统能力）；</w:t>
      </w:r>
    </w:p>
    <w:p>
      <w:r>
        <w:rPr>
          <w:rFonts w:ascii="微软雅黑" w:hAnsi="微软雅黑" w:eastAsia="微软雅黑"/>
          <w:sz w:val="22"/>
        </w:rPr>
        <w:t>9. 切换策略建议：根据试运行结果，建议使用单位选择合适的切换策略；</w:t>
      </w:r>
    </w:p>
    <w:p>
      <w:r>
        <w:rPr>
          <w:rFonts w:ascii="微软雅黑" w:hAnsi="微软雅黑" w:eastAsia="微软雅黑"/>
          <w:sz w:val="22"/>
        </w:rPr>
        <w:t>10. 是否具备系统切换条件的结论。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