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一站式服务平台</w:t>
      </w:r>
    </w:p>
    <w:p>
      <w:pPr>
        <w:jc w:val="center"/>
      </w:pPr>
      <w:r>
        <w:rPr>
          <w:rFonts w:ascii="微软雅黑" w:hAnsi="微软雅黑" w:eastAsia="微软雅黑"/>
          <w:b/>
          <w:sz w:val="40"/>
        </w:rPr>
        <w:t>实施方案</w:t>
      </w:r>
    </w:p>
    <w:p>
      <w:pPr>
        <w:jc w:val="center"/>
      </w:pPr>
      <w:r>
        <w:rPr>
          <w:rFonts w:ascii="微软雅黑" w:hAnsi="微软雅黑" w:eastAsia="微软雅黑"/>
          <w:sz w:val="24"/>
        </w:rPr>
        <w:t>编制日期：2026年7月</w:t>
      </w:r>
    </w:p>
    <w:p>
      <w:r>
        <w:br w:type="page"/>
      </w:r>
    </w:p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一、编写目的</w:t>
      </w:r>
    </w:p>
    <w:p>
      <w:r>
        <w:rPr>
          <w:rFonts w:ascii="微软雅黑" w:hAnsi="微软雅黑" w:eastAsia="微软雅黑"/>
          <w:sz w:val="24"/>
        </w:rPr>
        <w:t>本方案聚焦一站式服务平台建设项目，包含统一登录、快速办理、综合查询、信息备案等功能模块，梳理整体规划。</w:t>
      </w:r>
    </w:p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二、系统建设现状</w:t>
      </w:r>
    </w:p>
    <w:p>
      <w:r>
        <w:rPr>
          <w:rFonts w:ascii="微软雅黑" w:hAnsi="微软雅黑" w:eastAsia="微软雅黑"/>
          <w:sz w:val="24"/>
        </w:rPr>
        <w:t>根据"畅享地服"的核心理念，针对货代等服务对象操作多系统的痛点，整合双流、天府两地托运申报、补贴、物流查询、资质备案等分散子系统功能，搭建统一的地服对外交互服务平台。</w:t>
      </w:r>
    </w:p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三、系统上线整体规划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阶段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时间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状态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主要内容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第一阶段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2026年6月1日 - 2026年7月9日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已完成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功能验证和第三方对接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第二阶段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2026年7月10日 - 2026年10月10日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进行中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系统试运行（3个月）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第三阶段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2026年10月11日 - 2026年10月12日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待执行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正式上线</w:t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四、功能验证与测试（已完成）</w:t>
      </w:r>
    </w:p>
    <w:p>
      <w:pPr>
        <w:jc w:val="left"/>
      </w:pPr>
      <w:r>
        <w:rPr>
          <w:rFonts w:ascii="微软雅黑" w:hAnsi="微软雅黑" w:eastAsia="微软雅黑"/>
          <w:b/>
          <w:color w:val="663399"/>
          <w:sz w:val="28"/>
        </w:rPr>
        <w:t>4.1 统一登录功能验证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功能项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验证内容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验证结果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验证时间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用户登录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支持货代企业账号登录、密码验证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2026-06-15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微信登录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微信授权登录、绑定货代企业账号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2026-06-15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角色权限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不同角色访问不同功能模块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2026-06-16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密码修改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用户自主修改密码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2026-06-16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忘记密码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通过邮箱找回密码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2026-06-17</w:t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663399"/>
          <w:sz w:val="28"/>
        </w:rPr>
        <w:t>4.2 快速办理功能验证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功能项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验证内容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验证结果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验证时间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出港业务-托运申报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托运书填写、货物信息录入、电子签名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2026-06-18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出港业务-文件上传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托运书、发票等文件上传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2026-06-19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进港业务-提货通知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接收提货通知、查看货物详情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2026-06-20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进港业务-电子签收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司机端运单电子签收确认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2026-06-21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备案申请-企业资质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企业基本信息、资质证书上传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2026-06-22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备案申请-人员信息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授权人员信息、权限分配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2026-06-23</w:t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663399"/>
          <w:sz w:val="28"/>
        </w:rPr>
        <w:t>4.3 综合查询功能验证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功能项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验证内容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验证结果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验证时间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运单查询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按运单号查询货物状态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2026-06-24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轨迹跟踪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货物实时轨迹跟踪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2026-06-25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运单统计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按时间段、航线、货代企业统计运单量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2026-06-26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报表导出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导出运单数据为Excel格式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2026-06-27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历史记录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查询历史运单记录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2026-06-28</w:t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663399"/>
          <w:sz w:val="28"/>
        </w:rPr>
        <w:t>4.4 信息备案功能验证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功能项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验证内容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验证结果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验证时间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企业信息备案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企业基本信息、资质证书上传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2026-06-29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人员信息备案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授权人员信息、权限分配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2026-06-30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备案审核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管理员审核备案信息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2026-07-01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备案变更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备案信息变更申请与审核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2026-07-02</w:t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五、第三方对接与数据验证（已完成）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第三方系统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对接内容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数据验证标准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验证结果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双流智慧货运系统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出港业务、线上备案、业务状态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数据发送正确，状态接收及时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天府货运系统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出港业务、线上备案、业务状态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数据发送正确，状态接收及时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航空物流电子信息平台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物流查询、航空货运电报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能正常查询物流信息和电报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双流国际机场货物补贴管理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补贴申请、补贴审批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能发送补贴申请，能接收审批结果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航空货邮地面驳运系统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驳运任务创建、驳运任务状态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能发送驳运任务申请，能接收任务状态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六、双系统并行应急措施</w:t>
      </w:r>
    </w:p>
    <w:p>
      <w:r>
        <w:rPr>
          <w:rFonts w:ascii="微软雅黑" w:hAnsi="微软雅黑" w:eastAsia="微软雅黑"/>
          <w:b/>
          <w:sz w:val="22"/>
        </w:rPr>
        <w:t>1. 新系统无法向第三方系统发送数据</w:t>
      </w:r>
    </w:p>
    <w:p>
      <w:r>
        <w:rPr>
          <w:rFonts w:ascii="微软雅黑" w:hAnsi="微软雅黑" w:eastAsia="微软雅黑"/>
          <w:sz w:val="22"/>
        </w:rPr>
        <w:t>新系统为主时，只使用新系统向第三方系统发送生产数据，当新系统数据发送失败或无法发送时，可及时通过老系统向第三方系统发送生产数据。</w:t>
      </w:r>
    </w:p>
    <w:p>
      <w:r>
        <w:rPr>
          <w:rFonts w:ascii="微软雅黑" w:hAnsi="微软雅黑" w:eastAsia="微软雅黑"/>
          <w:b/>
          <w:sz w:val="22"/>
        </w:rPr>
        <w:t>2. 新系统无法使用</w:t>
      </w:r>
    </w:p>
    <w:p>
      <w:r>
        <w:rPr>
          <w:rFonts w:ascii="微软雅黑" w:hAnsi="微软雅黑" w:eastAsia="微软雅黑"/>
          <w:sz w:val="22"/>
        </w:rPr>
        <w:t>新系统为主时，若新系统出现无法访问、崩溃等让现场作业人员无法操作，且经技术人员判断无法短时间内恢复时，则将直接使用老系统完成相关作业即可。</w:t>
      </w:r>
    </w:p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七、试运行验收验证标准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验证类别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验证指标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合格标准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系统稳定性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系统可用率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≥99.5%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系统故障恢复时间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≤30分钟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日均故障次数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≤1次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功能完整性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核心功能可用率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100%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业务流程成功率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≥99%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用户满意度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用户操作便捷性评分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≥4分（5分制）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用户反馈问题解决率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≥95%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数据准确性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数据同步准确性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100%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接口稳定性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第三方接口成功率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≥99%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接口响应时间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≤5秒</w:t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八、试运行验证记录表单</w:t>
      </w:r>
    </w:p>
    <w:p>
      <w:r>
        <w:rPr>
          <w:rFonts w:ascii="微软雅黑" w:hAnsi="微软雅黑" w:eastAsia="微软雅黑"/>
          <w:b/>
          <w:sz w:val="22"/>
        </w:rPr>
        <w:t>附件一：系统运行检查单（每日）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检查日期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检查人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系统状态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异常描述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处理措施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确认人</w:t>
            </w:r>
          </w:p>
        </w:tc>
      </w:tr>
      <w:tr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  <w:t>检查日期</w:t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  <w:t>检查人</w:t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  <w:t>系统状态</w:t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  <w:t>异常描述</w:t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  <w:t>处理措施</w:t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  <w:t>确认人</w:t>
            </w:r>
          </w:p>
        </w:tc>
      </w:tr>
      <w:tr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</w:tr>
    </w:tbl>
    <w:p>
      <w:r>
        <w:rPr>
          <w:rFonts w:ascii="微软雅黑" w:hAnsi="微软雅黑" w:eastAsia="微软雅黑"/>
          <w:b/>
          <w:sz w:val="22"/>
        </w:rPr>
        <w:t>附件二：业务流程验证记录（每日）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验证日期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业务类型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运单数量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成功数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失败数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失败原因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备注</w:t>
            </w:r>
          </w:p>
        </w:tc>
      </w:tr>
      <w:tr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  <w:t>验证日期</w:t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  <w:t>业务类型</w:t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  <w:t>运单数量</w:t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  <w:t>成功数</w:t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  <w:t>失败数</w:t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  <w:t>失败原因</w:t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  <w:t>备注</w:t>
            </w:r>
          </w:p>
        </w:tc>
      </w:tr>
      <w:tr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</w:tr>
    </w:tbl>
    <w:p>
      <w:r>
        <w:rPr>
          <w:rFonts w:ascii="微软雅黑" w:hAnsi="微软雅黑" w:eastAsia="微软雅黑"/>
          <w:b/>
          <w:sz w:val="22"/>
        </w:rPr>
        <w:t>附件三：用户反馈记录表（每周）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反馈日期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反馈人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问题描述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问题分类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处理状态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处理措施</w:t>
            </w:r>
          </w:p>
        </w:tc>
      </w:tr>
      <w:tr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  <w:t>反馈日期</w:t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  <w:t>反馈人</w:t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  <w:t>问题描述</w:t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  <w:t>问题分类</w:t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  <w:t>处理状态</w:t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  <w:t>处理措施</w:t>
            </w:r>
          </w:p>
        </w:tc>
      </w:tr>
      <w:tr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九、功能培训说明</w:t>
      </w:r>
    </w:p>
    <w:p>
      <w:r>
        <w:rPr>
          <w:rFonts w:ascii="微软雅黑" w:hAnsi="微软雅黑" w:eastAsia="微软雅黑"/>
          <w:sz w:val="22"/>
        </w:rPr>
        <w:t>已完成功能培训：统一登录功能培训、快速办理功能培训、综合查询功能培训、信息备案功能培训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